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A096" w14:textId="64C4868B" w:rsidR="00D94EC6" w:rsidRDefault="00D94EC6" w:rsidP="00D94EC6">
      <w:pPr>
        <w:pStyle w:val="Heading1"/>
        <w:spacing w:after="120"/>
        <w:rPr>
          <w:lang w:val="en-GB"/>
        </w:rPr>
      </w:pPr>
      <w:r>
        <w:rPr>
          <w:color w:val="FF0000"/>
          <w:lang w:val="en-GB"/>
        </w:rPr>
        <w:t>Group exercise</w:t>
      </w:r>
      <w:r>
        <w:rPr>
          <w:color w:val="FF0000"/>
        </w:rPr>
        <w:t xml:space="preserve">: </w:t>
      </w:r>
      <w:r w:rsidR="00BB1E14">
        <w:rPr>
          <w:lang w:val="en-GB"/>
        </w:rPr>
        <w:t>INTRODUCTION TO CEA</w:t>
      </w:r>
    </w:p>
    <w:p w14:paraId="1D88D800" w14:textId="475C29A1" w:rsidR="00D94EC6" w:rsidRDefault="00873538" w:rsidP="00873538">
      <w:pPr>
        <w:pStyle w:val="Heading4"/>
        <w:tabs>
          <w:tab w:val="clear" w:pos="6379"/>
        </w:tabs>
        <w:spacing w:after="0" w:line="240" w:lineRule="auto"/>
        <w:rPr>
          <w:rFonts w:ascii="Montserrat" w:eastAsia="Montserrat" w:hAnsi="Montserrat" w:cs="Montserrat"/>
          <w:color w:val="000000" w:themeColor="text1"/>
          <w:sz w:val="28"/>
          <w:szCs w:val="28"/>
          <w:lang w:val="en-GB"/>
        </w:rPr>
      </w:pPr>
      <w:r>
        <w:rPr>
          <w:rFonts w:ascii="Montserrat" w:eastAsia="Montserrat" w:hAnsi="Montserrat" w:cs="Montserrat"/>
          <w:color w:val="000000" w:themeColor="text1"/>
          <w:sz w:val="28"/>
          <w:szCs w:val="28"/>
          <w:lang w:val="en-GB"/>
        </w:rPr>
        <w:t>Participant handout</w:t>
      </w:r>
    </w:p>
    <w:p w14:paraId="35B5DD3B" w14:textId="77777777" w:rsidR="00873538" w:rsidRPr="00873538" w:rsidRDefault="00873538" w:rsidP="00873538">
      <w:pPr>
        <w:spacing w:after="0"/>
        <w:rPr>
          <w:lang w:eastAsia="x-none"/>
        </w:rPr>
      </w:pPr>
    </w:p>
    <w:p w14:paraId="2A0768AC" w14:textId="77777777" w:rsidR="00461B4A" w:rsidRPr="003D28B4" w:rsidRDefault="00461B4A" w:rsidP="00461B4A">
      <w:pPr>
        <w:pStyle w:val="Heading4"/>
        <w:spacing w:after="120"/>
        <w:rPr>
          <w:rFonts w:ascii="Montserrat" w:eastAsia="Montserrat" w:hAnsi="Montserrat" w:cs="Montserrat"/>
          <w:sz w:val="28"/>
          <w:szCs w:val="28"/>
        </w:rPr>
      </w:pPr>
      <w:r w:rsidRPr="003D28B4">
        <w:rPr>
          <w:rFonts w:ascii="Montserrat" w:eastAsia="Montserrat" w:hAnsi="Montserrat" w:cs="Montserrat"/>
          <w:sz w:val="28"/>
          <w:szCs w:val="28"/>
          <w:lang w:val="en-US"/>
        </w:rPr>
        <w:t xml:space="preserve">Queueing at the Ukraine-Polish border </w:t>
      </w:r>
      <w:r w:rsidRPr="003D28B4">
        <w:rPr>
          <w:rFonts w:ascii="Montserrat" w:eastAsia="Montserrat" w:hAnsi="Montserrat" w:cs="Montserrat"/>
          <w:sz w:val="28"/>
          <w:szCs w:val="28"/>
        </w:rPr>
        <w:t xml:space="preserve">scenario </w:t>
      </w:r>
    </w:p>
    <w:p w14:paraId="733CD261" w14:textId="77777777" w:rsidR="00425264" w:rsidRPr="00030DB7" w:rsidRDefault="00425264" w:rsidP="00425264">
      <w:pPr>
        <w:jc w:val="both"/>
        <w:rPr>
          <w:rFonts w:ascii="Open Sans" w:eastAsia="Arial" w:hAnsi="Open Sans" w:cs="Open Sans"/>
          <w:sz w:val="20"/>
          <w:szCs w:val="20"/>
          <w:lang w:val="uk-UA"/>
        </w:rPr>
      </w:pPr>
      <w:r w:rsidRPr="00030DB7">
        <w:rPr>
          <w:rFonts w:ascii="Open Sans" w:eastAsia="Arial" w:hAnsi="Open Sans" w:cs="Open Sans"/>
          <w:sz w:val="20"/>
          <w:szCs w:val="20"/>
          <w:lang w:val="uk-UA"/>
        </w:rPr>
        <w:t>Around 175 IDPs, including children and the elderly, are waiting to cross the Ukraine-Poland border one day in March 2022. They are waiting to cross to the Polish side. According to those who have been "lucky" enough to get to Poland, the border crossing takes eight hours. Small groups of a few people are allowed to cross in order to complete the paperwork.</w:t>
      </w:r>
    </w:p>
    <w:p w14:paraId="7F5FB564" w14:textId="77777777" w:rsidR="00425264" w:rsidRPr="00030DB7" w:rsidRDefault="00425264" w:rsidP="00425264">
      <w:pPr>
        <w:jc w:val="both"/>
        <w:rPr>
          <w:rFonts w:ascii="Open Sans" w:eastAsia="Arial" w:hAnsi="Open Sans" w:cs="Open Sans"/>
          <w:sz w:val="20"/>
          <w:szCs w:val="20"/>
          <w:lang w:val="uk-UA"/>
        </w:rPr>
      </w:pPr>
      <w:r w:rsidRPr="00030DB7">
        <w:rPr>
          <w:rFonts w:ascii="Open Sans" w:eastAsia="Arial" w:hAnsi="Open Sans" w:cs="Open Sans"/>
          <w:sz w:val="20"/>
          <w:szCs w:val="20"/>
          <w:lang w:val="uk-UA"/>
        </w:rPr>
        <w:t>After three hours at the border in cold weather, people are allowed to enter the neutral zone. There is very little space in this zone for people who have also brought a lot of suitcases. As the zone is designed to accommodate about 100 people at a time, it is very crowded. A woman with four small children talks quietly to the border guard to find out what she can do to get a better place.</w:t>
      </w:r>
    </w:p>
    <w:p w14:paraId="15BEBBBC" w14:textId="77777777" w:rsidR="00425264" w:rsidRPr="00030DB7" w:rsidRDefault="00425264" w:rsidP="00425264">
      <w:pPr>
        <w:jc w:val="both"/>
        <w:rPr>
          <w:rFonts w:ascii="Open Sans" w:hAnsi="Open Sans" w:cs="Open Sans"/>
          <w:sz w:val="20"/>
          <w:szCs w:val="20"/>
        </w:rPr>
      </w:pPr>
      <w:r w:rsidRPr="00030DB7">
        <w:rPr>
          <w:rFonts w:ascii="Open Sans" w:eastAsia="Arial" w:hAnsi="Open Sans" w:cs="Open Sans"/>
          <w:sz w:val="20"/>
          <w:szCs w:val="20"/>
          <w:lang w:val="uk-UA"/>
        </w:rPr>
        <w:t xml:space="preserve">But the queue to cross the border is not moving. The border guard informs the citizens that the queue will start moving in 10 minutes, but there is no movement for about two hours. During this time, several more groups of people were allowed into the neutral zone. Eventually, the queue starts moving, but some people start complaining of hypothermia, and everyone </w:t>
      </w:r>
      <w:r>
        <w:rPr>
          <w:rFonts w:ascii="Open Sans" w:eastAsia="Arial" w:hAnsi="Open Sans" w:cs="Open Sans"/>
          <w:sz w:val="20"/>
          <w:szCs w:val="20"/>
          <w:lang w:val="en-US"/>
        </w:rPr>
        <w:t>becomes upset</w:t>
      </w:r>
      <w:r w:rsidRPr="00030DB7">
        <w:rPr>
          <w:rFonts w:ascii="Open Sans" w:eastAsia="Arial" w:hAnsi="Open Sans" w:cs="Open Sans"/>
          <w:sz w:val="20"/>
          <w:szCs w:val="20"/>
          <w:lang w:val="uk-UA"/>
        </w:rPr>
        <w:t>. One of the people trying to cross the border, an elderly man, shouts at the border guard and threatens to hit him. The border guard shouts back and stops the queue from moving to the Polish side.</w:t>
      </w:r>
    </w:p>
    <w:p w14:paraId="5134DF42" w14:textId="77777777" w:rsidR="00425264" w:rsidRPr="00E34D4F" w:rsidRDefault="00425264" w:rsidP="00425264">
      <w:pPr>
        <w:pStyle w:val="BodyText2"/>
        <w:pBdr>
          <w:top w:val="none" w:sz="0" w:space="0" w:color="auto"/>
          <w:left w:val="none" w:sz="0" w:space="0" w:color="auto"/>
          <w:bottom w:val="none" w:sz="0" w:space="0" w:color="auto"/>
          <w:right w:val="none" w:sz="0" w:space="0" w:color="auto"/>
        </w:pBdr>
        <w:shd w:val="clear" w:color="auto" w:fill="auto"/>
        <w:spacing w:after="120"/>
        <w:rPr>
          <w:sz w:val="24"/>
          <w:szCs w:val="24"/>
        </w:rPr>
      </w:pPr>
      <w:r w:rsidRPr="00030DB7">
        <w:rPr>
          <w:rFonts w:ascii="Open Sans" w:eastAsia="Arial" w:hAnsi="Open Sans" w:cs="Open Sans"/>
          <w:bCs/>
          <w:i/>
          <w:iCs/>
          <w:szCs w:val="20"/>
          <w:lang w:val="uk-UA"/>
        </w:rPr>
        <w:t>Internally displaced persons cross the border at the Krakovets-Korchova crossing point on 26 February</w:t>
      </w:r>
      <w:r w:rsidRPr="00030DB7">
        <w:rPr>
          <w:rFonts w:ascii="Open Sans" w:eastAsia="Arial" w:hAnsi="Open Sans" w:cs="Open Sans"/>
          <w:bCs/>
          <w:i/>
          <w:iCs/>
          <w:szCs w:val="20"/>
        </w:rPr>
        <w:t xml:space="preserve"> 2022</w:t>
      </w:r>
      <w:r w:rsidRPr="00030DB7">
        <w:rPr>
          <w:rFonts w:ascii="Open Sans" w:eastAsia="Arial" w:hAnsi="Open Sans" w:cs="Open Sans"/>
          <w:bCs/>
          <w:i/>
          <w:iCs/>
          <w:szCs w:val="20"/>
          <w:lang w:val="uk-UA"/>
        </w:rPr>
        <w:t>. photo: getty images</w:t>
      </w:r>
      <w:r w:rsidRPr="004F43F3">
        <w:rPr>
          <w:rFonts w:eastAsia="Arial"/>
          <w:i/>
          <w:noProof/>
          <w:sz w:val="22"/>
          <w:lang w:val="uk-UA" w:eastAsia="ru-RU"/>
        </w:rPr>
        <w:drawing>
          <wp:inline distT="0" distB="0" distL="0" distR="0" wp14:anchorId="49D7937D" wp14:editId="6E41F5A7">
            <wp:extent cx="5760720" cy="3234767"/>
            <wp:effectExtent l="0" t="0" r="0" b="3810"/>
            <wp:docPr id="17" name="Рисунок 17" descr="A group of people walking down a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A group of people walking down a stree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3234767"/>
                    </a:xfrm>
                    <a:prstGeom prst="rect">
                      <a:avLst/>
                    </a:prstGeom>
                  </pic:spPr>
                </pic:pic>
              </a:graphicData>
            </a:graphic>
          </wp:inline>
        </w:drawing>
      </w:r>
      <w:r w:rsidRPr="00E34D4F">
        <w:rPr>
          <w:sz w:val="24"/>
          <w:szCs w:val="24"/>
        </w:rPr>
        <w:t xml:space="preserve">   </w:t>
      </w:r>
    </w:p>
    <w:p w14:paraId="0BE03968" w14:textId="77777777" w:rsidR="00425264" w:rsidRDefault="00425264"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p>
    <w:p w14:paraId="72516EB9" w14:textId="097C9802" w:rsidR="00D94EC6"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r w:rsidRPr="00C050E8">
        <w:rPr>
          <w:rFonts w:ascii="Open Sans" w:hAnsi="Open Sans" w:cs="Open Sans"/>
          <w:sz w:val="22"/>
        </w:rPr>
        <w:t xml:space="preserve">      </w:t>
      </w:r>
    </w:p>
    <w:p w14:paraId="27AC4ECB" w14:textId="60A15022" w:rsidR="00D94EC6" w:rsidRPr="00654E0B" w:rsidRDefault="00D94EC6" w:rsidP="00D94EC6">
      <w:pPr>
        <w:spacing w:after="120" w:line="276" w:lineRule="auto"/>
        <w:jc w:val="both"/>
        <w:rPr>
          <w:rFonts w:ascii="Open Sans" w:eastAsia="Open Sans" w:hAnsi="Open Sans" w:cs="Open Sans"/>
          <w:b/>
        </w:rPr>
      </w:pPr>
      <w:r w:rsidRPr="00654E0B">
        <w:rPr>
          <w:rFonts w:ascii="Open Sans" w:eastAsia="Open Sans" w:hAnsi="Open Sans" w:cs="Open Sans"/>
          <w:b/>
        </w:rPr>
        <w:lastRenderedPageBreak/>
        <w:t>Questions for group discussion</w:t>
      </w:r>
      <w:r>
        <w:rPr>
          <w:rFonts w:ascii="Open Sans" w:eastAsia="Open Sans" w:hAnsi="Open Sans" w:cs="Open Sans"/>
          <w:b/>
        </w:rPr>
        <w:t xml:space="preserve"> – answers on a flip chart</w:t>
      </w:r>
    </w:p>
    <w:p w14:paraId="18578EA0"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What caused the situation?</w:t>
      </w:r>
    </w:p>
    <w:p w14:paraId="72075189"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 xml:space="preserve">How it could have been prevented? </w:t>
      </w:r>
    </w:p>
    <w:p w14:paraId="0306F4B5" w14:textId="497D5A5B" w:rsidR="00E7515E" w:rsidRPr="002E7C78" w:rsidRDefault="00D94EC6" w:rsidP="00873538">
      <w:pPr>
        <w:pStyle w:val="Heading1"/>
        <w:numPr>
          <w:ilvl w:val="0"/>
          <w:numId w:val="16"/>
        </w:numPr>
        <w:tabs>
          <w:tab w:val="num" w:pos="360"/>
        </w:tabs>
        <w:spacing w:line="276" w:lineRule="auto"/>
        <w:rPr>
          <w:rFonts w:ascii="Open Sans" w:hAnsi="Open Sans" w:cs="Open Sans"/>
          <w:b w:val="0"/>
          <w:sz w:val="22"/>
          <w:szCs w:val="22"/>
        </w:rPr>
      </w:pPr>
      <w:r w:rsidRPr="00161A77">
        <w:rPr>
          <w:rFonts w:ascii="Open Sans" w:hAnsi="Open Sans" w:cs="Open Sans"/>
          <w:b w:val="0"/>
          <w:sz w:val="22"/>
          <w:szCs w:val="22"/>
        </w:rPr>
        <w:t xml:space="preserve">What are the similarities between this situation and </w:t>
      </w:r>
      <w:r>
        <w:rPr>
          <w:rFonts w:ascii="Open Sans" w:hAnsi="Open Sans" w:cs="Open Sans"/>
          <w:b w:val="0"/>
          <w:sz w:val="22"/>
          <w:szCs w:val="22"/>
          <w:lang w:val="en-GB"/>
        </w:rPr>
        <w:t xml:space="preserve">Red Cross Red Crescent work in communities?  </w:t>
      </w:r>
    </w:p>
    <w:sectPr w:rsidR="00E7515E" w:rsidRPr="002E7C78" w:rsidSect="00D94EC6">
      <w:headerReference w:type="even" r:id="rId12"/>
      <w:headerReference w:type="default" r:id="rId13"/>
      <w:footerReference w:type="even" r:id="rId14"/>
      <w:footerReference w:type="default" r:id="rId15"/>
      <w:headerReference w:type="first" r:id="rId16"/>
      <w:footerReference w:type="first" r:id="rId17"/>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6F06A" w14:textId="77777777" w:rsidR="009B5C23" w:rsidRDefault="009B5C23">
      <w:pPr>
        <w:spacing w:after="0" w:line="240" w:lineRule="auto"/>
      </w:pPr>
      <w:r>
        <w:separator/>
      </w:r>
    </w:p>
  </w:endnote>
  <w:endnote w:type="continuationSeparator" w:id="0">
    <w:p w14:paraId="3624E00D" w14:textId="77777777" w:rsidR="009B5C23" w:rsidRDefault="009B5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altName w:val="Calibri"/>
    <w:panose1 w:val="00000700000000000000"/>
    <w:charset w:val="4D"/>
    <w:family w:val="auto"/>
    <w:pitch w:val="variable"/>
    <w:sig w:usb0="2000020F" w:usb1="00000003" w:usb2="00000000" w:usb3="00000000" w:csb0="00000197" w:csb1="00000000"/>
  </w:font>
  <w:font w:name="Montserrat Medium">
    <w:altName w:val="Calibri"/>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799B" w14:textId="567E9EE8" w:rsidR="002371E2" w:rsidRDefault="002371E2">
    <w:pPr>
      <w:pStyle w:val="Footer"/>
    </w:pPr>
    <w:r>
      <w:rPr>
        <w:noProof/>
      </w:rPr>
      <mc:AlternateContent>
        <mc:Choice Requires="wps">
          <w:drawing>
            <wp:anchor distT="0" distB="0" distL="0" distR="0" simplePos="0" relativeHeight="251663360" behindDoc="0" locked="0" layoutInCell="1" allowOverlap="1" wp14:anchorId="52A31787" wp14:editId="00D53AA0">
              <wp:simplePos x="635" y="635"/>
              <wp:positionH relativeFrom="leftMargin">
                <wp:align>left</wp:align>
              </wp:positionH>
              <wp:positionV relativeFrom="paragraph">
                <wp:posOffset>635</wp:posOffset>
              </wp:positionV>
              <wp:extent cx="443865" cy="443865"/>
              <wp:effectExtent l="0" t="0" r="6985" b="17145"/>
              <wp:wrapSquare wrapText="bothSides"/>
              <wp:docPr id="4" name="Text Box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56ACB8" w14:textId="5E2D0993"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2A31787" id="_x0000_t202" coordsize="21600,21600" o:spt="202" path="m,l,21600r21600,l21600,xe">
              <v:stroke joinstyle="miter"/>
              <v:path gradientshapeok="t" o:connecttype="rect"/>
            </v:shapetype>
            <v:shape id="Text Box 4" o:spid="_x0000_s1026" type="#_x0000_t202" alt="Internal" style="position:absolute;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fill o:detectmouseclick="t"/>
              <v:textbox style="mso-fit-shape-to-text:t" inset="5pt,0,0,0">
                <w:txbxContent>
                  <w:p w14:paraId="7E56ACB8" w14:textId="5E2D0993"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A54E" w14:textId="437DDBD1" w:rsidR="002371E2" w:rsidRDefault="002371E2">
    <w:pPr>
      <w:pStyle w:val="Footer"/>
    </w:pPr>
    <w:r>
      <w:rPr>
        <w:noProof/>
      </w:rPr>
      <mc:AlternateContent>
        <mc:Choice Requires="wps">
          <w:drawing>
            <wp:anchor distT="0" distB="0" distL="0" distR="0" simplePos="0" relativeHeight="251664384" behindDoc="0" locked="0" layoutInCell="1" allowOverlap="1" wp14:anchorId="4E66AD77" wp14:editId="629EFCF4">
              <wp:simplePos x="635" y="635"/>
              <wp:positionH relativeFrom="leftMargin">
                <wp:align>left</wp:align>
              </wp:positionH>
              <wp:positionV relativeFrom="paragraph">
                <wp:posOffset>635</wp:posOffset>
              </wp:positionV>
              <wp:extent cx="443865" cy="443865"/>
              <wp:effectExtent l="0" t="0" r="6985" b="17145"/>
              <wp:wrapSquare wrapText="bothSides"/>
              <wp:docPr id="5" name="Text Box 5"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17307D" w14:textId="37AC289E"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66AD77" id="_x0000_t202" coordsize="21600,21600" o:spt="202" path="m,l,21600r21600,l21600,xe">
              <v:stroke joinstyle="miter"/>
              <v:path gradientshapeok="t" o:connecttype="rect"/>
            </v:shapetype>
            <v:shape id="Text Box 5" o:spid="_x0000_s1027" type="#_x0000_t202" alt="Internal" style="position:absolute;margin-left:0;margin-top:.05pt;width:34.95pt;height:34.95pt;z-index:25166438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fill o:detectmouseclick="t"/>
              <v:textbox style="mso-fit-shape-to-text:t" inset="5pt,0,0,0">
                <w:txbxContent>
                  <w:p w14:paraId="7F17307D" w14:textId="37AC289E"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BBD" w14:textId="7012BE54" w:rsidR="002371E2" w:rsidRDefault="002371E2">
    <w:pPr>
      <w:pStyle w:val="Footer"/>
    </w:pPr>
    <w:r>
      <w:rPr>
        <w:noProof/>
      </w:rPr>
      <mc:AlternateContent>
        <mc:Choice Requires="wps">
          <w:drawing>
            <wp:anchor distT="0" distB="0" distL="0" distR="0" simplePos="0" relativeHeight="251662336" behindDoc="0" locked="0" layoutInCell="1" allowOverlap="1" wp14:anchorId="1A1C9D8B" wp14:editId="73A6BA0E">
              <wp:simplePos x="635" y="635"/>
              <wp:positionH relativeFrom="leftMargin">
                <wp:align>left</wp:align>
              </wp:positionH>
              <wp:positionV relativeFrom="paragraph">
                <wp:posOffset>635</wp:posOffset>
              </wp:positionV>
              <wp:extent cx="443865" cy="443865"/>
              <wp:effectExtent l="0" t="0" r="6985" b="17145"/>
              <wp:wrapSquare wrapText="bothSides"/>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A85134" w14:textId="77402A61"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A1C9D8B" id="_x0000_t202" coordsize="21600,21600" o:spt="202" path="m,l,21600r21600,l21600,xe">
              <v:stroke joinstyle="miter"/>
              <v:path gradientshapeok="t" o:connecttype="rect"/>
            </v:shapetype>
            <v:shape id="Text Box 3" o:spid="_x0000_s1028" type="#_x0000_t202" alt="Internal"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fill o:detectmouseclick="t"/>
              <v:textbox style="mso-fit-shape-to-text:t" inset="5pt,0,0,0">
                <w:txbxContent>
                  <w:p w14:paraId="7FA85134" w14:textId="77402A61" w:rsidR="002371E2" w:rsidRPr="002371E2" w:rsidRDefault="002371E2">
                    <w:pPr>
                      <w:rPr>
                        <w:rFonts w:ascii="Calibri" w:eastAsia="Calibri" w:hAnsi="Calibri" w:cs="Calibri"/>
                        <w:noProof/>
                        <w:color w:val="000000"/>
                        <w:sz w:val="20"/>
                        <w:szCs w:val="20"/>
                      </w:rPr>
                    </w:pPr>
                    <w:r w:rsidRPr="002371E2">
                      <w:rPr>
                        <w:rFonts w:ascii="Calibri" w:eastAsia="Calibri" w:hAnsi="Calibri" w:cs="Calibri"/>
                        <w:noProof/>
                        <w:color w:val="000000"/>
                        <w:sz w:val="20"/>
                        <w:szCs w:val="20"/>
                      </w:rPr>
                      <w:t>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0DC3E" w14:textId="77777777" w:rsidR="009B5C23" w:rsidRDefault="009B5C23">
      <w:pPr>
        <w:spacing w:after="0" w:line="240" w:lineRule="auto"/>
      </w:pPr>
      <w:r>
        <w:separator/>
      </w:r>
    </w:p>
  </w:footnote>
  <w:footnote w:type="continuationSeparator" w:id="0">
    <w:p w14:paraId="66345DCD" w14:textId="77777777" w:rsidR="009B5C23" w:rsidRDefault="009B5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461B4A">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62766DF5" w14:textId="0CBA3077" w:rsidR="00D94EC6" w:rsidRDefault="00EE1085"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E16AB4">
            <w:rPr>
              <w:rFonts w:ascii="Montserrat" w:eastAsia="Montserrat" w:hAnsi="Montserrat" w:cs="Montserrat"/>
              <w:b/>
              <w:noProof/>
              <w:color w:val="000000"/>
              <w:sz w:val="21"/>
              <w:szCs w:val="21"/>
            </w:rPr>
            <w:drawing>
              <wp:anchor distT="0" distB="0" distL="114300" distR="114300" simplePos="0" relativeHeight="251661312" behindDoc="1" locked="0" layoutInCell="1" allowOverlap="1" wp14:anchorId="6F1A9239" wp14:editId="789C03E8">
                <wp:simplePos x="0" y="0"/>
                <wp:positionH relativeFrom="column">
                  <wp:posOffset>-1548765</wp:posOffset>
                </wp:positionH>
                <wp:positionV relativeFrom="paragraph">
                  <wp:posOffset>-95250</wp:posOffset>
                </wp:positionV>
                <wp:extent cx="1446530" cy="756285"/>
                <wp:effectExtent l="0" t="0" r="1270" b="3175"/>
                <wp:wrapTight wrapText="bothSides">
                  <wp:wrapPolygon edited="0">
                    <wp:start x="0" y="0"/>
                    <wp:lineTo x="0" y="21293"/>
                    <wp:lineTo x="21407" y="21293"/>
                    <wp:lineTo x="214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6293"/>
                        <a:stretch/>
                      </pic:blipFill>
                      <pic:spPr bwMode="auto">
                        <a:xfrm>
                          <a:off x="0" y="0"/>
                          <a:ext cx="1446530" cy="7562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94EC6">
            <w:rPr>
              <w:rFonts w:ascii="Montserrat" w:eastAsia="Montserrat" w:hAnsi="Montserrat" w:cs="Montserrat"/>
              <w:b/>
              <w:color w:val="000000"/>
              <w:sz w:val="24"/>
              <w:szCs w:val="24"/>
            </w:rPr>
            <w:t xml:space="preserve"> </w:t>
          </w:r>
        </w:p>
        <w:p w14:paraId="74653335" w14:textId="4ECE9A54"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15D2DA6F" w14:textId="78C9868C" w:rsidR="005F28BF" w:rsidRDefault="00D94EC6" w:rsidP="005F28BF">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1B093E0" w14:textId="5E2E5728" w:rsidR="00D94EC6" w:rsidRDefault="00BB1E14" w:rsidP="00EE1085">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Introduction to</w:t>
          </w:r>
          <w:r w:rsidR="00D94EC6">
            <w:rPr>
              <w:rFonts w:ascii="Montserrat" w:eastAsia="Montserrat" w:hAnsi="Montserrat" w:cs="Montserrat"/>
              <w:color w:val="000000"/>
              <w:sz w:val="21"/>
              <w:szCs w:val="21"/>
            </w:rPr>
            <w:t xml:space="preserve"> CEA Group Exercise </w:t>
          </w:r>
          <w:r w:rsidR="00873538">
            <w:rPr>
              <w:rFonts w:ascii="Montserrat" w:eastAsia="Montserrat" w:hAnsi="Montserrat" w:cs="Montserrat"/>
              <w:color w:val="000000"/>
              <w:sz w:val="21"/>
              <w:szCs w:val="21"/>
            </w:rPr>
            <w:t>–</w:t>
          </w:r>
          <w:r w:rsidR="00D94EC6">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r w:rsidR="005F28BF">
            <w:rPr>
              <w:rFonts w:ascii="Montserrat" w:eastAsia="Montserrat" w:hAnsi="Montserrat" w:cs="Montserrat"/>
              <w:color w:val="000000"/>
              <w:sz w:val="21"/>
              <w:szCs w:val="21"/>
            </w:rPr>
            <w:t xml:space="preserve"> </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507F" w14:textId="77777777" w:rsidR="002371E2" w:rsidRDefault="00237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450"/>
    <w:multiLevelType w:val="multilevel"/>
    <w:tmpl w:val="E54C5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1C07B5"/>
    <w:multiLevelType w:val="hybridMultilevel"/>
    <w:tmpl w:val="D8A024D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27280B"/>
    <w:multiLevelType w:val="hybridMultilevel"/>
    <w:tmpl w:val="D93E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5901161"/>
    <w:multiLevelType w:val="hybridMultilevel"/>
    <w:tmpl w:val="D526D3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15889473">
    <w:abstractNumId w:val="4"/>
  </w:num>
  <w:num w:numId="2" w16cid:durableId="1348365678">
    <w:abstractNumId w:val="9"/>
  </w:num>
  <w:num w:numId="3" w16cid:durableId="1756631802">
    <w:abstractNumId w:val="15"/>
  </w:num>
  <w:num w:numId="4" w16cid:durableId="988170575">
    <w:abstractNumId w:val="11"/>
  </w:num>
  <w:num w:numId="5" w16cid:durableId="718674640">
    <w:abstractNumId w:val="7"/>
  </w:num>
  <w:num w:numId="6" w16cid:durableId="1873685344">
    <w:abstractNumId w:val="14"/>
  </w:num>
  <w:num w:numId="7" w16cid:durableId="1517187494">
    <w:abstractNumId w:val="3"/>
  </w:num>
  <w:num w:numId="8" w16cid:durableId="448933536">
    <w:abstractNumId w:val="10"/>
  </w:num>
  <w:num w:numId="9" w16cid:durableId="2087453603">
    <w:abstractNumId w:val="2"/>
  </w:num>
  <w:num w:numId="10" w16cid:durableId="2083990421">
    <w:abstractNumId w:val="1"/>
  </w:num>
  <w:num w:numId="11" w16cid:durableId="1713771741">
    <w:abstractNumId w:val="13"/>
  </w:num>
  <w:num w:numId="12" w16cid:durableId="43718898">
    <w:abstractNumId w:val="0"/>
  </w:num>
  <w:num w:numId="13" w16cid:durableId="1410038796">
    <w:abstractNumId w:val="6"/>
  </w:num>
  <w:num w:numId="14" w16cid:durableId="1559590049">
    <w:abstractNumId w:val="8"/>
  </w:num>
  <w:num w:numId="15" w16cid:durableId="520895105">
    <w:abstractNumId w:val="12"/>
  </w:num>
  <w:num w:numId="16" w16cid:durableId="2694387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190628"/>
    <w:rsid w:val="002371E2"/>
    <w:rsid w:val="002E7C78"/>
    <w:rsid w:val="00425264"/>
    <w:rsid w:val="00461B4A"/>
    <w:rsid w:val="0050205B"/>
    <w:rsid w:val="00567357"/>
    <w:rsid w:val="00593FAF"/>
    <w:rsid w:val="005E24ED"/>
    <w:rsid w:val="005F28BF"/>
    <w:rsid w:val="00873538"/>
    <w:rsid w:val="009B5C23"/>
    <w:rsid w:val="00A01017"/>
    <w:rsid w:val="00B1283F"/>
    <w:rsid w:val="00B414EA"/>
    <w:rsid w:val="00BB1E14"/>
    <w:rsid w:val="00C466E6"/>
    <w:rsid w:val="00C857D2"/>
    <w:rsid w:val="00D05887"/>
    <w:rsid w:val="00D2516B"/>
    <w:rsid w:val="00D44AC5"/>
    <w:rsid w:val="00D94EC6"/>
    <w:rsid w:val="00E7515E"/>
    <w:rsid w:val="00EE1085"/>
    <w:rsid w:val="00EF527C"/>
    <w:rsid w:val="00F06C3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B50A73-02D8-44AE-998D-79D9609F6C2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C3B918E-D105-4A86-AD1B-35D00AB2D9AA}">
  <ds:schemaRefs>
    <ds:schemaRef ds:uri="http://schemas.microsoft.com/office/2006/metadata/properties"/>
    <ds:schemaRef ds:uri="http://schemas.microsoft.com/office/infopath/2007/PartnerControls"/>
    <ds:schemaRef ds:uri="133e5729-7bb1-4685-bd1f-c5e580a2ee33"/>
    <ds:schemaRef ds:uri="cf328f71-004c-4ec5-8aac-4c1fe87c002c"/>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3B5C10D4-470C-4317-99A0-3528DF49BE17}"/>
</file>

<file path=docProps/app.xml><?xml version="1.0" encoding="utf-8"?>
<Properties xmlns="http://schemas.openxmlformats.org/officeDocument/2006/extended-properties" xmlns:vt="http://schemas.openxmlformats.org/officeDocument/2006/docPropsVTypes">
  <Template>Normal.dotm</Template>
  <TotalTime>2</TotalTime>
  <Pages>2</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Spela JUNTUNEN</cp:lastModifiedBy>
  <cp:revision>5</cp:revision>
  <dcterms:created xsi:type="dcterms:W3CDTF">2022-08-01T08:09:00Z</dcterms:created>
  <dcterms:modified xsi:type="dcterms:W3CDTF">2023-09-10T18:27:00Z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3,4,5</vt:lpwstr>
  </property>
  <property fmtid="{D5CDD505-2E9C-101B-9397-08002B2CF9AE}" pid="6" name="ClassificationContentMarkingFooterFontProps">
    <vt:lpwstr>#000000,10,Calibri</vt:lpwstr>
  </property>
  <property fmtid="{D5CDD505-2E9C-101B-9397-08002B2CF9AE}" pid="7" name="ClassificationContentMarkingFooterText">
    <vt:lpwstr>Internal</vt:lpwstr>
  </property>
  <property fmtid="{D5CDD505-2E9C-101B-9397-08002B2CF9AE}" pid="8" name="MSIP_Label_6627b15a-80ec-4ef7-8353-f32e3c89bf3e_Enabled">
    <vt:lpwstr>true</vt:lpwstr>
  </property>
  <property fmtid="{D5CDD505-2E9C-101B-9397-08002B2CF9AE}" pid="9" name="MSIP_Label_6627b15a-80ec-4ef7-8353-f32e3c89bf3e_SetDate">
    <vt:lpwstr>2022-08-01T08:09:58Z</vt:lpwstr>
  </property>
  <property fmtid="{D5CDD505-2E9C-101B-9397-08002B2CF9AE}" pid="10" name="MSIP_Label_6627b15a-80ec-4ef7-8353-f32e3c89bf3e_Method">
    <vt:lpwstr>Privileged</vt:lpwstr>
  </property>
  <property fmtid="{D5CDD505-2E9C-101B-9397-08002B2CF9AE}" pid="11" name="MSIP_Label_6627b15a-80ec-4ef7-8353-f32e3c89bf3e_Name">
    <vt:lpwstr>IFRC Internal</vt:lpwstr>
  </property>
  <property fmtid="{D5CDD505-2E9C-101B-9397-08002B2CF9AE}" pid="12" name="MSIP_Label_6627b15a-80ec-4ef7-8353-f32e3c89bf3e_SiteId">
    <vt:lpwstr>a2b53be5-734e-4e6c-ab0d-d184f60fd917</vt:lpwstr>
  </property>
  <property fmtid="{D5CDD505-2E9C-101B-9397-08002B2CF9AE}" pid="13" name="MSIP_Label_6627b15a-80ec-4ef7-8353-f32e3c89bf3e_ActionId">
    <vt:lpwstr>1840559b-515f-48fc-873b-3728c44db755</vt:lpwstr>
  </property>
  <property fmtid="{D5CDD505-2E9C-101B-9397-08002B2CF9AE}" pid="14" name="MSIP_Label_6627b15a-80ec-4ef7-8353-f32e3c89bf3e_ContentBits">
    <vt:lpwstr>2</vt:lpwstr>
  </property>
  <property fmtid="{D5CDD505-2E9C-101B-9397-08002B2CF9AE}" pid="15" name="MediaServiceImageTags">
    <vt:lpwstr/>
  </property>
  <property fmtid="{D5CDD505-2E9C-101B-9397-08002B2CF9AE}" pid="16" name="Order">
    <vt:r8>250100</vt:r8>
  </property>
  <property fmtid="{D5CDD505-2E9C-101B-9397-08002B2CF9AE}" pid="17" name="xd_Signature">
    <vt:bool>false</vt:bool>
  </property>
  <property fmtid="{D5CDD505-2E9C-101B-9397-08002B2CF9AE}" pid="18" name="xd_ProgID">
    <vt:lpwstr/>
  </property>
  <property fmtid="{D5CDD505-2E9C-101B-9397-08002B2CF9AE}" pid="19" name="_SourceUrl">
    <vt:lpwstr/>
  </property>
  <property fmtid="{D5CDD505-2E9C-101B-9397-08002B2CF9AE}" pid="20" name="_SharedFileIndex">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ies>
</file>