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C626" w14:textId="18B212A0" w:rsidR="006723CF" w:rsidRPr="00845C85" w:rsidRDefault="00662750" w:rsidP="00365A72">
      <w:pPr>
        <w:pStyle w:val="Heading1"/>
        <w:keepLines/>
        <w:bidi/>
        <w:spacing w:before="240" w:after="240"/>
        <w:rPr>
          <w:rFonts w:ascii="Montserrat" w:hAnsi="Montserrat"/>
          <w:b/>
          <w:i w:val="0"/>
          <w:color w:val="C00000"/>
          <w:sz w:val="36"/>
          <w:szCs w:val="36"/>
          <w:u w:val="none"/>
          <w:rtl/>
        </w:rPr>
      </w:pPr>
      <w:r>
        <w:rPr>
          <w:rFonts w:ascii="Montserrat" w:hAnsi="Montserrat"/>
          <w:b/>
          <w:bCs/>
          <w:i w:val="0"/>
          <w:color w:val="C00000"/>
          <w:sz w:val="36"/>
          <w:szCs w:val="36"/>
          <w:u w:val="none"/>
        </w:rPr>
        <w:t>M1.2</w:t>
      </w:r>
      <w:r>
        <w:rPr>
          <w:rFonts w:ascii="Montserrat" w:hAnsi="Montserrat" w:hint="cs"/>
          <w:b/>
          <w:bCs/>
          <w:i w:val="0"/>
          <w:color w:val="C00000"/>
          <w:sz w:val="36"/>
          <w:szCs w:val="36"/>
          <w:u w:val="none"/>
          <w:rtl/>
        </w:rPr>
        <w:t xml:space="preserve"> - ما هي المشاركة المجتمعية؟</w:t>
      </w:r>
    </w:p>
    <w:p w14:paraId="37C58209" w14:textId="33DED61B" w:rsidR="00662750" w:rsidRPr="00662750" w:rsidRDefault="00662750" w:rsidP="00662750">
      <w:pPr>
        <w:bidi/>
        <w:spacing w:line="276" w:lineRule="auto"/>
        <w:rPr>
          <w:rFonts w:ascii="Open Sans" w:hAnsi="Open Sans" w:cs="Arial"/>
          <w:sz w:val="22"/>
          <w:szCs w:val="22"/>
          <w:rtl/>
        </w:rPr>
      </w:pPr>
      <w:r>
        <w:rPr>
          <w:rFonts w:ascii="Open Sans" w:hAnsi="Open Sans" w:cs="Arial" w:hint="cs"/>
          <w:sz w:val="22"/>
          <w:szCs w:val="22"/>
          <w:rtl/>
        </w:rPr>
        <w:t>تعد المشاركة المجتمعية والمساءلة طريقة عمل تعترف وتقدر جميع أعضاء المجتمع كشركاء متساوين، وتوجه احتياجاتهم وأولوياتهم وتفضيلاتهم المتنوعة كل ما نقوم به. نحقق ذلك من خلال دمج المشاركة المجتمعية الهادفة، والتواصل المفتوح والصادق، وآليات الاستماع إلى ردود الفعل والعمل بناءً عليها، ضمن برامجنا وعملياتنا. يخبرنا الدليل والخبرة والفطرة السليمة أنه عندما نشرك المجتمعات حقًا ويلعبون دورًا نشطًا في تصميم وإدارة البرامج والعمليات، تكون النتائج أكثر فعالية واستدامة وذات جودة أعلى.</w:t>
      </w:r>
    </w:p>
    <w:p w14:paraId="41C45A90" w14:textId="06C89830" w:rsidR="00662750" w:rsidRDefault="00662750" w:rsidP="00662750">
      <w:pPr>
        <w:pBdr>
          <w:top w:val="none" w:sz="0" w:space="0" w:color="000000"/>
          <w:left w:val="none" w:sz="0" w:space="0" w:color="000000"/>
          <w:bottom w:val="none" w:sz="0" w:space="0" w:color="000000"/>
          <w:right w:val="none" w:sz="0" w:space="0" w:color="000000"/>
          <w:between w:val="nil"/>
        </w:pBdr>
        <w:bidi/>
        <w:spacing w:line="276" w:lineRule="auto"/>
        <w:jc w:val="both"/>
        <w:rPr>
          <w:rFonts w:ascii="Open Sans" w:eastAsia="Arial" w:hAnsi="Open Sans" w:cs="Arial"/>
          <w:color w:val="000000"/>
          <w:sz w:val="22"/>
          <w:szCs w:val="22"/>
          <w:rtl/>
        </w:rPr>
      </w:pPr>
      <w:r>
        <w:rPr>
          <w:rFonts w:ascii="Open Sans" w:hAnsi="Open Sans" w:cs="Arial" w:hint="cs"/>
          <w:noProof/>
          <w:color w:val="000000"/>
          <w:sz w:val="22"/>
          <w:rtl/>
        </w:rPr>
        <w:drawing>
          <wp:inline distT="0" distB="0" distL="0" distR="0" wp14:anchorId="6948ED94" wp14:editId="60F54F2F">
            <wp:extent cx="6184900" cy="2933065"/>
            <wp:effectExtent l="0" t="0" r="0" b="635"/>
            <wp:docPr id="1203408731" name="Picture 1" descr="A picture containing text, screenshot, circle,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408731" name="Picture 1" descr="A picture containing text, screenshot, circle, font&#10;&#10;Description automatically generated"/>
                    <pic:cNvPicPr/>
                  </pic:nvPicPr>
                  <pic:blipFill>
                    <a:blip r:embed="rId11"/>
                    <a:stretch>
                      <a:fillRect/>
                    </a:stretch>
                  </pic:blipFill>
                  <pic:spPr>
                    <a:xfrm>
                      <a:off x="0" y="0"/>
                      <a:ext cx="6184900" cy="2933065"/>
                    </a:xfrm>
                    <a:prstGeom prst="rect">
                      <a:avLst/>
                    </a:prstGeom>
                  </pic:spPr>
                </pic:pic>
              </a:graphicData>
            </a:graphic>
          </wp:inline>
        </w:drawing>
      </w:r>
    </w:p>
    <w:p w14:paraId="45649D58" w14:textId="77777777" w:rsidR="00662750" w:rsidRDefault="00662750" w:rsidP="00662750">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rPr>
      </w:pPr>
    </w:p>
    <w:p w14:paraId="6C1C2A43" w14:textId="1CEDBB74" w:rsidR="00662750" w:rsidRPr="00662750" w:rsidRDefault="00662750" w:rsidP="00662750">
      <w:pPr>
        <w:pStyle w:val="Heading1"/>
        <w:keepLines/>
        <w:bidi/>
        <w:spacing w:after="120"/>
        <w:rPr>
          <w:rFonts w:ascii="Montserrat" w:hAnsi="Montserrat"/>
          <w:b/>
          <w:i w:val="0"/>
          <w:color w:val="C00000"/>
          <w:sz w:val="28"/>
          <w:szCs w:val="28"/>
          <w:u w:val="none"/>
          <w:rtl/>
        </w:rPr>
      </w:pPr>
      <w:r>
        <w:rPr>
          <w:rFonts w:ascii="Montserrat" w:hAnsi="Montserrat" w:hint="cs"/>
          <w:b/>
          <w:bCs/>
          <w:i w:val="0"/>
          <w:color w:val="C00000"/>
          <w:sz w:val="28"/>
          <w:szCs w:val="28"/>
          <w:u w:val="none"/>
          <w:rtl/>
        </w:rPr>
        <w:t>لماذا نحتاج إلى إشراك المجتمعات؟</w:t>
      </w:r>
    </w:p>
    <w:p w14:paraId="0F8E2FEC" w14:textId="77777777" w:rsidR="00662750" w:rsidRPr="00662750" w:rsidRDefault="00662750" w:rsidP="004A124F">
      <w:pPr>
        <w:pStyle w:val="ListParagraph"/>
        <w:numPr>
          <w:ilvl w:val="0"/>
          <w:numId w:val="44"/>
        </w:numPr>
        <w:bidi/>
        <w:spacing w:after="0"/>
        <w:ind w:left="357" w:hanging="357"/>
        <w:contextualSpacing w:val="0"/>
        <w:rPr>
          <w:rFonts w:ascii="Open Sans" w:hAnsi="Open Sans" w:cs="Arial"/>
          <w:b/>
          <w:bCs/>
          <w:rtl/>
        </w:rPr>
      </w:pPr>
      <w:r>
        <w:rPr>
          <w:rFonts w:ascii="Open Sans" w:hAnsi="Open Sans" w:cs="Arial" w:hint="cs"/>
          <w:b/>
          <w:bCs/>
          <w:rtl/>
        </w:rPr>
        <w:t>لفهم سياق المجتمع واحتياجاته</w:t>
      </w:r>
    </w:p>
    <w:p w14:paraId="5CD133A5" w14:textId="1C72BAFB" w:rsidR="00662750" w:rsidRPr="00662750" w:rsidRDefault="00662750" w:rsidP="00662750">
      <w:pPr>
        <w:bidi/>
        <w:rPr>
          <w:rFonts w:ascii="Open Sans" w:hAnsi="Open Sans" w:cs="Arial"/>
          <w:sz w:val="22"/>
          <w:szCs w:val="22"/>
          <w:rtl/>
        </w:rPr>
      </w:pPr>
      <w:r>
        <w:rPr>
          <w:rFonts w:ascii="Open Sans" w:hAnsi="Open Sans" w:cs="Arial" w:hint="cs"/>
          <w:sz w:val="22"/>
          <w:szCs w:val="22"/>
          <w:rtl/>
        </w:rPr>
        <w:t>نحن بحاجة إلى الانخراط مع جميع المجموعات في المجتمع لفهم احتياجاتهم الخاصة وتفضيلاتهم وسياقهم. إذا افترضنا أننا نعرف ما يحتاجه الناس أو كيف تعمل الأشياء في مجتمعهم، فإننا نجازف بارتكاب خطأ وتقديم الدعم الذي لا يساعد، أو حتى يتسبب في ضرر أسوأ.</w:t>
      </w:r>
    </w:p>
    <w:p w14:paraId="60B722A5" w14:textId="77777777" w:rsidR="00662750" w:rsidRPr="00662750" w:rsidRDefault="00662750" w:rsidP="00662750">
      <w:pPr>
        <w:rPr>
          <w:rFonts w:ascii="Open Sans" w:hAnsi="Open Sans" w:cs="Open Sans"/>
          <w:sz w:val="22"/>
          <w:szCs w:val="22"/>
        </w:rPr>
      </w:pPr>
    </w:p>
    <w:p w14:paraId="6CB90EBF" w14:textId="77777777" w:rsidR="00662750" w:rsidRPr="00662750" w:rsidRDefault="00662750" w:rsidP="004A124F">
      <w:pPr>
        <w:pStyle w:val="ListParagraph"/>
        <w:numPr>
          <w:ilvl w:val="0"/>
          <w:numId w:val="44"/>
        </w:numPr>
        <w:bidi/>
        <w:spacing w:after="0"/>
        <w:ind w:left="357" w:hanging="357"/>
        <w:contextualSpacing w:val="0"/>
        <w:rPr>
          <w:rFonts w:ascii="Open Sans" w:hAnsi="Open Sans" w:cs="Arial"/>
          <w:b/>
          <w:bCs/>
          <w:rtl/>
        </w:rPr>
      </w:pPr>
      <w:r>
        <w:rPr>
          <w:rFonts w:ascii="Open Sans" w:hAnsi="Open Sans" w:cs="Arial" w:hint="cs"/>
          <w:b/>
          <w:bCs/>
          <w:rtl/>
        </w:rPr>
        <w:t>من أجل برامج وعمليات أفضل وأكثر فعالية،</w:t>
      </w:r>
    </w:p>
    <w:p w14:paraId="1277AA6E" w14:textId="4FBCBA19" w:rsidR="00662750" w:rsidRPr="00662750" w:rsidRDefault="00662750" w:rsidP="00662750">
      <w:pPr>
        <w:bidi/>
        <w:rPr>
          <w:rFonts w:ascii="Open Sans" w:hAnsi="Open Sans" w:cs="Arial"/>
          <w:sz w:val="22"/>
          <w:szCs w:val="22"/>
          <w:rtl/>
        </w:rPr>
      </w:pPr>
      <w:r>
        <w:rPr>
          <w:rFonts w:ascii="Open Sans" w:hAnsi="Open Sans" w:cs="Arial" w:hint="cs"/>
          <w:sz w:val="22"/>
          <w:szCs w:val="22"/>
          <w:rtl/>
        </w:rPr>
        <w:t>لا أحد يعرف مجتمعا أفضل من الناس الذين يعيشون فيه. عندما نعتمد على تلك المعرفة المحلية، نكون قادرين على تحقيق النجاح وتقديم دعم يكون مفيدًا وفي الوقت المناسب وذو صلة وبجودة عالية. يمنحنا الاستماع إلى ملاحظات المجتمع تحذيرًا مبكرًا عندما لا تسير الأمور كما يجب ويوفر رؤى قيمة حول كيفية التحسين.</w:t>
      </w:r>
    </w:p>
    <w:p w14:paraId="13D1E6CD" w14:textId="77777777" w:rsidR="00662750" w:rsidRPr="00662750" w:rsidRDefault="00662750" w:rsidP="00662750">
      <w:pPr>
        <w:rPr>
          <w:rFonts w:ascii="Open Sans" w:hAnsi="Open Sans" w:cs="Open Sans"/>
          <w:sz w:val="22"/>
          <w:szCs w:val="22"/>
        </w:rPr>
      </w:pPr>
    </w:p>
    <w:p w14:paraId="768FF9B8" w14:textId="77777777" w:rsidR="00662750" w:rsidRPr="00662750" w:rsidRDefault="00662750" w:rsidP="00662750">
      <w:pPr>
        <w:pStyle w:val="ListParagraph"/>
        <w:numPr>
          <w:ilvl w:val="0"/>
          <w:numId w:val="44"/>
        </w:numPr>
        <w:bidi/>
        <w:spacing w:after="60"/>
        <w:ind w:left="357" w:hanging="357"/>
        <w:contextualSpacing w:val="0"/>
        <w:rPr>
          <w:rFonts w:ascii="Open Sans" w:hAnsi="Open Sans" w:cs="Arial"/>
          <w:b/>
          <w:bCs/>
          <w:rtl/>
        </w:rPr>
      </w:pPr>
      <w:r>
        <w:rPr>
          <w:rFonts w:ascii="Open Sans" w:hAnsi="Open Sans" w:cs="Arial" w:hint="cs"/>
          <w:b/>
          <w:bCs/>
          <w:rtl/>
        </w:rPr>
        <w:t>لبناء الثقة والاستفادة والقبول مع المجتمعات</w:t>
      </w:r>
    </w:p>
    <w:p w14:paraId="0C6C1157" w14:textId="43574334" w:rsidR="00662750" w:rsidRPr="00662750" w:rsidRDefault="00662750" w:rsidP="00662750">
      <w:pPr>
        <w:bidi/>
        <w:rPr>
          <w:rFonts w:ascii="Open Sans" w:hAnsi="Open Sans" w:cs="Arial"/>
          <w:sz w:val="22"/>
          <w:szCs w:val="22"/>
          <w:rtl/>
        </w:rPr>
      </w:pPr>
      <w:r>
        <w:rPr>
          <w:rFonts w:ascii="Open Sans" w:hAnsi="Open Sans" w:cs="Arial" w:hint="cs"/>
          <w:sz w:val="22"/>
          <w:szCs w:val="22"/>
          <w:rtl/>
        </w:rPr>
        <w:t xml:space="preserve">التواصل المفتوح والصادق والعمل بناءً على ما يخبرنا به الناس هو علامة على الاحترام الذي يبني الثقة. بدون ثقة، قد لا يرغب الناس في التحدث إلينا، أو استخدام خدماتنا، أو تصديق المعلومات التي نشاركها أو الترحيب </w:t>
      </w:r>
      <w:proofErr w:type="spellStart"/>
      <w:r>
        <w:rPr>
          <w:rFonts w:ascii="Open Sans" w:hAnsi="Open Sans" w:cs="Arial" w:hint="cs"/>
          <w:sz w:val="22"/>
          <w:szCs w:val="22"/>
          <w:rtl/>
        </w:rPr>
        <w:t>بمتطوعينا</w:t>
      </w:r>
      <w:proofErr w:type="spellEnd"/>
      <w:r>
        <w:rPr>
          <w:rFonts w:ascii="Open Sans" w:hAnsi="Open Sans" w:cs="Arial" w:hint="cs"/>
          <w:sz w:val="22"/>
          <w:szCs w:val="22"/>
          <w:rtl/>
        </w:rPr>
        <w:t xml:space="preserve"> وموظفينا بأمان في مجتمعهم.</w:t>
      </w:r>
      <w:r>
        <w:rPr>
          <w:rFonts w:hint="cs"/>
          <w:rtl/>
        </w:rPr>
        <w:t xml:space="preserve"> </w:t>
      </w:r>
    </w:p>
    <w:p w14:paraId="28E1F612" w14:textId="77777777" w:rsidR="00662750" w:rsidRPr="00662750" w:rsidRDefault="00662750" w:rsidP="00662750">
      <w:pPr>
        <w:rPr>
          <w:rFonts w:ascii="Open Sans" w:hAnsi="Open Sans" w:cs="Open Sans"/>
          <w:sz w:val="22"/>
          <w:szCs w:val="22"/>
        </w:rPr>
      </w:pPr>
    </w:p>
    <w:p w14:paraId="7FA9E49B" w14:textId="77777777" w:rsidR="00662750" w:rsidRPr="00662750" w:rsidRDefault="00662750" w:rsidP="00662750">
      <w:pPr>
        <w:pStyle w:val="ListParagraph"/>
        <w:numPr>
          <w:ilvl w:val="0"/>
          <w:numId w:val="44"/>
        </w:numPr>
        <w:bidi/>
        <w:spacing w:after="60"/>
        <w:ind w:left="357" w:hanging="357"/>
        <w:contextualSpacing w:val="0"/>
        <w:rPr>
          <w:rFonts w:ascii="Open Sans" w:hAnsi="Open Sans" w:cs="Arial"/>
          <w:b/>
          <w:bCs/>
          <w:rtl/>
        </w:rPr>
      </w:pPr>
      <w:r>
        <w:rPr>
          <w:rFonts w:ascii="Open Sans" w:hAnsi="Open Sans" w:cs="Arial" w:hint="cs"/>
          <w:b/>
          <w:bCs/>
          <w:rtl/>
        </w:rPr>
        <w:t>لتعزيز تولي زمام المجتمع لأموره وقدرته على الصمود</w:t>
      </w:r>
    </w:p>
    <w:p w14:paraId="33B406DF" w14:textId="234A75D0" w:rsidR="00662750" w:rsidRPr="00662750" w:rsidRDefault="00662750" w:rsidP="00662750">
      <w:pPr>
        <w:bidi/>
        <w:rPr>
          <w:rFonts w:ascii="Open Sans" w:hAnsi="Open Sans" w:cs="Arial"/>
          <w:sz w:val="22"/>
          <w:szCs w:val="22"/>
          <w:rtl/>
        </w:rPr>
      </w:pPr>
      <w:r>
        <w:rPr>
          <w:rFonts w:ascii="Open Sans" w:hAnsi="Open Sans" w:cs="Arial" w:hint="cs"/>
          <w:sz w:val="22"/>
          <w:szCs w:val="22"/>
          <w:rtl/>
        </w:rPr>
        <w:t>الناس المتأثرين من الأزمة ليسوا عاجزين. عادة ما يكونون أول المستجيبين في أزمة ما ولديهم المعرفة والمهارات والقدرات التي يمكن أن تساعد في ضمان أن تكون المساعدة ملائمة ومستدامة. عندما نصمم البرامج والعمليات ونديرها بالشراكة مع المجتمعات، فهذا يسهل التمكن المحلي والاعتماد على الذات.</w:t>
      </w:r>
      <w:r>
        <w:rPr>
          <w:rFonts w:hint="cs"/>
          <w:rtl/>
        </w:rPr>
        <w:t xml:space="preserve"> </w:t>
      </w:r>
    </w:p>
    <w:p w14:paraId="1C785688" w14:textId="77777777" w:rsidR="00662750" w:rsidRPr="00662750" w:rsidRDefault="00662750" w:rsidP="00662750">
      <w:pPr>
        <w:rPr>
          <w:rFonts w:ascii="Open Sans" w:hAnsi="Open Sans" w:cs="Open Sans"/>
          <w:sz w:val="22"/>
          <w:szCs w:val="22"/>
        </w:rPr>
      </w:pPr>
    </w:p>
    <w:p w14:paraId="4F9C57C0" w14:textId="77777777" w:rsidR="00662750" w:rsidRPr="00662750" w:rsidRDefault="00662750" w:rsidP="00662750">
      <w:pPr>
        <w:pStyle w:val="ListParagraph"/>
        <w:numPr>
          <w:ilvl w:val="0"/>
          <w:numId w:val="44"/>
        </w:numPr>
        <w:bidi/>
        <w:spacing w:after="60"/>
        <w:ind w:left="357" w:hanging="357"/>
        <w:contextualSpacing w:val="0"/>
        <w:rPr>
          <w:rFonts w:ascii="Open Sans" w:hAnsi="Open Sans" w:cs="Arial"/>
          <w:b/>
          <w:bCs/>
          <w:rtl/>
        </w:rPr>
      </w:pPr>
      <w:r>
        <w:rPr>
          <w:rFonts w:ascii="Open Sans" w:hAnsi="Open Sans" w:cs="Arial" w:hint="cs"/>
          <w:b/>
          <w:bCs/>
          <w:rtl/>
        </w:rPr>
        <w:t>لدعم التزاماتنا الخاصة</w:t>
      </w:r>
    </w:p>
    <w:p w14:paraId="53292278" w14:textId="41106396" w:rsidR="00662750" w:rsidRDefault="00662750" w:rsidP="00365A72">
      <w:pPr>
        <w:pStyle w:val="ListParagraph"/>
        <w:bidi/>
        <w:ind w:left="0"/>
        <w:rPr>
          <w:rFonts w:ascii="Open Sans" w:hAnsi="Open Sans" w:cs="Arial"/>
          <w:rtl/>
        </w:rPr>
      </w:pPr>
      <w:r>
        <w:rPr>
          <w:rFonts w:ascii="Open Sans" w:hAnsi="Open Sans" w:cs="Arial" w:hint="cs"/>
          <w:rtl/>
        </w:rPr>
        <w:lastRenderedPageBreak/>
        <w:t>العمل بالشراكة مع المجتمعات هو جوهر هويتنا وجزء من التزاماتنا</w:t>
      </w:r>
      <w:r w:rsidR="00365A72">
        <w:rPr>
          <w:rStyle w:val="FootnoteReference"/>
          <w:rFonts w:ascii="Open Sans" w:hAnsi="Open Sans" w:cs="Open Sans"/>
        </w:rPr>
        <w:footnoteReference w:id="1"/>
      </w:r>
      <w:r>
        <w:rPr>
          <w:rFonts w:ascii="Open Sans" w:hAnsi="Open Sans" w:cs="Arial" w:hint="cs"/>
          <w:rtl/>
        </w:rPr>
        <w:t xml:space="preserve">. </w:t>
      </w:r>
      <w:r>
        <w:rPr>
          <w:rFonts w:hint="cs"/>
          <w:rtl/>
        </w:rPr>
        <w:t>في ديسمبر 2019،</w:t>
      </w:r>
      <w:hyperlink r:id="rId12" w:history="1">
        <w:r>
          <w:rPr>
            <w:rFonts w:ascii="Open Sans" w:hAnsi="Open Sans" w:cs="Arial" w:hint="cs"/>
            <w:rtl/>
          </w:rPr>
          <w:t xml:space="preserve"> </w:t>
        </w:r>
        <w:r>
          <w:rPr>
            <w:rStyle w:val="Hyperlink"/>
            <w:rFonts w:ascii="Open Sans" w:hAnsi="Open Sans" w:cs="Arial" w:hint="cs"/>
            <w:rtl/>
          </w:rPr>
          <w:t xml:space="preserve">تمت الموافقة على المجموعة الأولى من "الالتزامات على مستوى الحركة للمشاركة المجتمعية والمساءلة" </w:t>
        </w:r>
      </w:hyperlink>
      <w:r>
        <w:rPr>
          <w:rFonts w:ascii="Open Sans" w:hAnsi="Open Sans" w:cs="Arial" w:hint="cs"/>
          <w:rtl/>
        </w:rPr>
        <w:t xml:space="preserve"> في مجلس المندوبين.</w:t>
      </w:r>
    </w:p>
    <w:p w14:paraId="40DD533E" w14:textId="77777777" w:rsidR="00365A72" w:rsidRPr="00365A72" w:rsidRDefault="00365A72" w:rsidP="00365A72">
      <w:pPr>
        <w:pStyle w:val="ListParagraph"/>
        <w:ind w:left="0"/>
        <w:rPr>
          <w:rFonts w:ascii="Open Sans" w:hAnsi="Open Sans" w:cs="Open Sans"/>
        </w:rPr>
      </w:pPr>
    </w:p>
    <w:p w14:paraId="30C91558" w14:textId="4FD2FC41" w:rsidR="004A124F" w:rsidRPr="004A124F" w:rsidRDefault="004A124F" w:rsidP="004A124F">
      <w:pPr>
        <w:pStyle w:val="Heading1"/>
        <w:keepLines/>
        <w:bidi/>
        <w:spacing w:after="120"/>
        <w:rPr>
          <w:rFonts w:ascii="Montserrat" w:hAnsi="Montserrat"/>
          <w:b/>
          <w:i w:val="0"/>
          <w:color w:val="C00000"/>
          <w:sz w:val="28"/>
          <w:szCs w:val="28"/>
          <w:u w:val="none"/>
          <w:rtl/>
        </w:rPr>
      </w:pPr>
      <w:r>
        <w:rPr>
          <w:rFonts w:ascii="Montserrat" w:hAnsi="Montserrat" w:hint="cs"/>
          <w:b/>
          <w:bCs/>
          <w:i w:val="0"/>
          <w:color w:val="C00000"/>
          <w:sz w:val="28"/>
          <w:szCs w:val="28"/>
          <w:u w:val="none"/>
          <w:rtl/>
        </w:rPr>
        <w:t>الالتزامات الشاملة للحركة بشأن مشاركة المجتمع والمساءلة.</w:t>
      </w:r>
    </w:p>
    <w:p w14:paraId="2D449262" w14:textId="404BB801" w:rsidR="004A124F" w:rsidRPr="004A124F" w:rsidRDefault="004A124F" w:rsidP="004A124F">
      <w:pPr>
        <w:bidi/>
        <w:rPr>
          <w:rFonts w:ascii="Open Sans" w:hAnsi="Open Sans" w:cs="Arial"/>
          <w:sz w:val="22"/>
          <w:szCs w:val="22"/>
          <w:rtl/>
        </w:rPr>
      </w:pPr>
      <w:r>
        <w:rPr>
          <w:rFonts w:ascii="Open Sans" w:hAnsi="Open Sans" w:cs="Arial" w:hint="cs"/>
          <w:sz w:val="22"/>
          <w:szCs w:val="22"/>
          <w:rtl/>
        </w:rPr>
        <w:t>جميع أعضاء الحركة، بما في ذلك كل جمعية وطنية، ووفد اللجنة الدولية للصليب الأحمر ومكتب الاتحاد الدولي لجمعيات الصليب الأحمر والهلال الأحمر، مسؤولون عن الوفاء بهذه الالتزامات والتقيد بها، وهي ذات صلة وقابلة للتطبيق على جميع الموظفين والمتطوعين في جميع أنحاء الحركة بغض النظر عن دورهم.</w:t>
      </w:r>
    </w:p>
    <w:p w14:paraId="3AB08308" w14:textId="77777777" w:rsidR="004A124F" w:rsidRPr="004A124F" w:rsidRDefault="004A124F" w:rsidP="004A124F">
      <w:pPr>
        <w:rPr>
          <w:rFonts w:ascii="Open Sans" w:hAnsi="Open Sans" w:cs="Open Sans"/>
          <w:sz w:val="22"/>
          <w:szCs w:val="22"/>
        </w:rPr>
      </w:pPr>
    </w:p>
    <w:p w14:paraId="209FA40C"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b/>
          <w:bCs/>
          <w:sz w:val="22"/>
          <w:szCs w:val="22"/>
          <w:rtl/>
        </w:rPr>
        <w:t>الالتزام 1:</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بدمج المشاركة المجتمعية والمساءلة</w:t>
      </w:r>
      <w:r>
        <w:rPr>
          <w:rFonts w:ascii="Open Sans" w:hAnsi="Open Sans" w:cs="Arial" w:hint="cs"/>
          <w:sz w:val="22"/>
          <w:szCs w:val="22"/>
          <w:rtl/>
        </w:rPr>
        <w:t xml:space="preserve"> في استراتيجياتها وسياساتها وإجراءاتها.</w:t>
      </w:r>
    </w:p>
    <w:p w14:paraId="2765278B" w14:textId="77777777" w:rsidR="004A124F" w:rsidRPr="004A124F" w:rsidRDefault="004A124F" w:rsidP="00365A72">
      <w:pPr>
        <w:spacing w:line="276" w:lineRule="auto"/>
        <w:rPr>
          <w:rFonts w:ascii="Open Sans" w:hAnsi="Open Sans" w:cs="Open Sans"/>
          <w:sz w:val="22"/>
          <w:szCs w:val="22"/>
        </w:rPr>
      </w:pPr>
    </w:p>
    <w:p w14:paraId="6EAAC866"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b/>
          <w:bCs/>
          <w:sz w:val="22"/>
          <w:szCs w:val="22"/>
          <w:rtl/>
        </w:rPr>
        <w:t>الالتزام 2:</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بإجراء تحليل منتظم للسياقات</w:t>
      </w:r>
      <w:r>
        <w:rPr>
          <w:rFonts w:ascii="Open Sans" w:hAnsi="Open Sans" w:cs="Arial" w:hint="cs"/>
          <w:sz w:val="22"/>
          <w:szCs w:val="22"/>
          <w:rtl/>
        </w:rPr>
        <w:t xml:space="preserve"> وهي تعمل من أجل تحسين فهم ومعالجة تنوع احتياجات السكان والمجتمعات التي تسعى إلى </w:t>
      </w:r>
      <w:proofErr w:type="gramStart"/>
      <w:r>
        <w:rPr>
          <w:rFonts w:ascii="Open Sans" w:hAnsi="Open Sans" w:cs="Arial" w:hint="cs"/>
          <w:sz w:val="22"/>
          <w:szCs w:val="22"/>
          <w:rtl/>
        </w:rPr>
        <w:t>خدمتها</w:t>
      </w:r>
      <w:proofErr w:type="gramEnd"/>
      <w:r>
        <w:rPr>
          <w:rFonts w:ascii="Open Sans" w:hAnsi="Open Sans" w:cs="Arial" w:hint="cs"/>
          <w:sz w:val="22"/>
          <w:szCs w:val="22"/>
          <w:rtl/>
        </w:rPr>
        <w:t xml:space="preserve"> ومساعدتها ومواطن ضعفها وقدراتها.</w:t>
      </w:r>
    </w:p>
    <w:p w14:paraId="28D6E725" w14:textId="77777777" w:rsidR="004A124F" w:rsidRPr="004A124F" w:rsidRDefault="004A124F" w:rsidP="00365A72">
      <w:pPr>
        <w:spacing w:line="276" w:lineRule="auto"/>
        <w:rPr>
          <w:rFonts w:ascii="Open Sans" w:hAnsi="Open Sans" w:cs="Open Sans"/>
          <w:sz w:val="22"/>
          <w:szCs w:val="22"/>
        </w:rPr>
      </w:pPr>
    </w:p>
    <w:p w14:paraId="576E341B"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b/>
          <w:bCs/>
          <w:sz w:val="22"/>
          <w:szCs w:val="22"/>
          <w:rtl/>
        </w:rPr>
        <w:t>الالتزام 3:</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بتيسير زيادة مشاركة</w:t>
      </w:r>
      <w:r>
        <w:rPr>
          <w:rFonts w:ascii="Open Sans" w:hAnsi="Open Sans" w:cs="Arial" w:hint="cs"/>
          <w:sz w:val="22"/>
          <w:szCs w:val="22"/>
          <w:rtl/>
        </w:rPr>
        <w:t xml:space="preserve"> السكان المحليين والمجتمعات المحلية، بما في ذلك متطوعي الجمعية الوطنية، ومساعدتهم على تطبيق معارفهم ومهاراتهم وقدراتهم لإيجاد حلول مناسبة وفعالة لمشاكلهم.</w:t>
      </w:r>
    </w:p>
    <w:p w14:paraId="39D1DC75" w14:textId="77777777" w:rsidR="004A124F" w:rsidRPr="004A124F" w:rsidRDefault="004A124F" w:rsidP="00365A72">
      <w:pPr>
        <w:spacing w:line="276" w:lineRule="auto"/>
        <w:rPr>
          <w:rFonts w:ascii="Open Sans" w:hAnsi="Open Sans" w:cs="Open Sans"/>
          <w:sz w:val="22"/>
          <w:szCs w:val="22"/>
        </w:rPr>
      </w:pPr>
    </w:p>
    <w:p w14:paraId="43033684"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b/>
          <w:bCs/>
          <w:sz w:val="22"/>
          <w:szCs w:val="22"/>
          <w:rtl/>
        </w:rPr>
        <w:t>الالتزام 4:</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بالاستماع بشكل منهجي إلى ردود الفعل والرد عليها والعمل عليها</w:t>
      </w:r>
      <w:r>
        <w:rPr>
          <w:rFonts w:ascii="Open Sans" w:hAnsi="Open Sans" w:cs="Arial" w:hint="cs"/>
          <w:sz w:val="22"/>
          <w:szCs w:val="22"/>
          <w:rtl/>
        </w:rPr>
        <w:t xml:space="preserve"> من الناس والمجتمعات التي نهدف إلى خدمتهم.</w:t>
      </w:r>
    </w:p>
    <w:p w14:paraId="6D4F40C4" w14:textId="77777777" w:rsidR="004A124F" w:rsidRPr="004A124F" w:rsidRDefault="004A124F" w:rsidP="00365A72">
      <w:pPr>
        <w:spacing w:line="276" w:lineRule="auto"/>
        <w:rPr>
          <w:rFonts w:ascii="Open Sans" w:hAnsi="Open Sans" w:cs="Open Sans"/>
          <w:sz w:val="22"/>
          <w:szCs w:val="22"/>
        </w:rPr>
      </w:pPr>
    </w:p>
    <w:p w14:paraId="14747EBD"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b/>
          <w:bCs/>
          <w:sz w:val="22"/>
          <w:szCs w:val="22"/>
          <w:rtl/>
        </w:rPr>
        <w:t>الالتزام 5:</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بمزيد من الشفافية في عمليات التواصل</w:t>
      </w:r>
    </w:p>
    <w:p w14:paraId="542EE2EA"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sz w:val="22"/>
          <w:szCs w:val="22"/>
          <w:rtl/>
        </w:rPr>
        <w:t>والعلاقات مع الناس والمجتمعات التي نهدف إلى خدمتها.</w:t>
      </w:r>
    </w:p>
    <w:p w14:paraId="25C40513" w14:textId="77777777" w:rsidR="004A124F" w:rsidRPr="004A124F" w:rsidRDefault="004A124F" w:rsidP="00365A72">
      <w:pPr>
        <w:spacing w:line="276" w:lineRule="auto"/>
        <w:rPr>
          <w:rFonts w:ascii="Open Sans" w:hAnsi="Open Sans" w:cs="Open Sans"/>
          <w:sz w:val="22"/>
          <w:szCs w:val="22"/>
        </w:rPr>
      </w:pPr>
    </w:p>
    <w:p w14:paraId="6C036A1D" w14:textId="77777777" w:rsidR="004A124F" w:rsidRPr="004A124F" w:rsidRDefault="004A124F" w:rsidP="00365A72">
      <w:pPr>
        <w:bidi/>
        <w:spacing w:line="276" w:lineRule="auto"/>
        <w:rPr>
          <w:rFonts w:ascii="Open Sans" w:hAnsi="Open Sans" w:cs="Arial"/>
          <w:sz w:val="22"/>
          <w:szCs w:val="22"/>
          <w:rtl/>
        </w:rPr>
      </w:pPr>
      <w:r>
        <w:rPr>
          <w:rFonts w:ascii="Open Sans" w:hAnsi="Open Sans" w:cs="Arial" w:hint="cs"/>
          <w:b/>
          <w:bCs/>
          <w:sz w:val="22"/>
          <w:szCs w:val="22"/>
          <w:rtl/>
        </w:rPr>
        <w:t>الالتزام 6:</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بتعزيز المعرفة والمهارات والكفاءات في المشاركة المجتمعية والمساءلة على جميع المستويات</w:t>
      </w:r>
      <w:r>
        <w:rPr>
          <w:rFonts w:ascii="Open Sans" w:hAnsi="Open Sans" w:cs="Arial" w:hint="cs"/>
          <w:sz w:val="22"/>
          <w:szCs w:val="22"/>
          <w:rtl/>
        </w:rPr>
        <w:t>، ودمج هذا التعلم بشكل منهجي في عملنا.</w:t>
      </w:r>
    </w:p>
    <w:p w14:paraId="5A0ACDEC" w14:textId="77777777" w:rsidR="004A124F" w:rsidRPr="004A124F" w:rsidRDefault="004A124F" w:rsidP="00365A72">
      <w:pPr>
        <w:spacing w:line="276" w:lineRule="auto"/>
        <w:rPr>
          <w:rFonts w:ascii="Open Sans" w:hAnsi="Open Sans" w:cs="Open Sans"/>
          <w:sz w:val="22"/>
          <w:szCs w:val="22"/>
        </w:rPr>
      </w:pPr>
    </w:p>
    <w:p w14:paraId="1D5714E3" w14:textId="7DA837E6" w:rsidR="004A124F" w:rsidRDefault="004A124F" w:rsidP="00365A72">
      <w:pPr>
        <w:bidi/>
        <w:spacing w:line="276" w:lineRule="auto"/>
        <w:rPr>
          <w:rFonts w:ascii="Open Sans" w:hAnsi="Open Sans" w:cs="Arial"/>
          <w:sz w:val="22"/>
          <w:szCs w:val="22"/>
        </w:rPr>
      </w:pPr>
      <w:r>
        <w:rPr>
          <w:rFonts w:ascii="Open Sans" w:hAnsi="Open Sans" w:cs="Arial" w:hint="cs"/>
          <w:b/>
          <w:bCs/>
          <w:sz w:val="22"/>
          <w:szCs w:val="22"/>
          <w:rtl/>
        </w:rPr>
        <w:t>الالتزام 7:</w:t>
      </w:r>
      <w:r>
        <w:rPr>
          <w:rFonts w:ascii="Open Sans" w:hAnsi="Open Sans" w:cs="Arial" w:hint="cs"/>
          <w:sz w:val="22"/>
          <w:szCs w:val="22"/>
          <w:rtl/>
        </w:rPr>
        <w:t xml:space="preserve"> جميع مكونات الحركة </w:t>
      </w:r>
      <w:r>
        <w:rPr>
          <w:rFonts w:ascii="Open Sans" w:hAnsi="Open Sans" w:cs="Arial" w:hint="cs"/>
          <w:b/>
          <w:bCs/>
          <w:sz w:val="22"/>
          <w:szCs w:val="22"/>
          <w:rtl/>
        </w:rPr>
        <w:t>تلتزم تنسيق النهج المشاركة المجتمعية والمساءلة عند العمل في نفس السياق</w:t>
      </w:r>
      <w:r>
        <w:rPr>
          <w:rFonts w:ascii="Open Sans" w:hAnsi="Open Sans" w:cs="Arial" w:hint="cs"/>
          <w:sz w:val="22"/>
          <w:szCs w:val="22"/>
          <w:rtl/>
        </w:rPr>
        <w:t xml:space="preserve"> بما في ذلك مع الشركاء الخارجيين ذوي الصلة، من أجل زيادة التماسك والترابط، </w:t>
      </w:r>
      <w:proofErr w:type="gramStart"/>
      <w:r>
        <w:rPr>
          <w:rFonts w:ascii="Open Sans" w:hAnsi="Open Sans" w:cs="Arial" w:hint="cs"/>
          <w:sz w:val="22"/>
          <w:szCs w:val="22"/>
          <w:rtl/>
        </w:rPr>
        <w:t xml:space="preserve">وتجنب الازدواجية </w:t>
      </w:r>
      <w:proofErr w:type="gramEnd"/>
      <w:r>
        <w:rPr>
          <w:rFonts w:ascii="Open Sans" w:hAnsi="Open Sans" w:cs="Arial" w:hint="cs"/>
          <w:sz w:val="22"/>
          <w:szCs w:val="22"/>
          <w:rtl/>
        </w:rPr>
        <w:t>وتحسين الفعالية والكفاءة.</w:t>
      </w:r>
    </w:p>
    <w:p w14:paraId="1EFA28AD" w14:textId="77777777" w:rsidR="00346626" w:rsidRDefault="00346626" w:rsidP="00346626">
      <w:pPr>
        <w:bidi/>
        <w:spacing w:line="276" w:lineRule="auto"/>
        <w:rPr>
          <w:rFonts w:ascii="Open Sans" w:hAnsi="Open Sans" w:cs="Arial"/>
          <w:sz w:val="22"/>
          <w:szCs w:val="22"/>
        </w:rPr>
      </w:pPr>
    </w:p>
    <w:p w14:paraId="0F3459EC" w14:textId="77777777" w:rsidR="00346626" w:rsidRDefault="00346626" w:rsidP="00346626">
      <w:pPr>
        <w:bidi/>
        <w:spacing w:line="276" w:lineRule="auto"/>
        <w:rPr>
          <w:rFonts w:ascii="Open Sans" w:hAnsi="Open Sans" w:cs="Arial"/>
          <w:sz w:val="22"/>
          <w:szCs w:val="22"/>
        </w:rPr>
      </w:pPr>
    </w:p>
    <w:p w14:paraId="19984609" w14:textId="77777777" w:rsidR="00346626" w:rsidRDefault="00346626" w:rsidP="00346626">
      <w:pPr>
        <w:bidi/>
        <w:spacing w:line="276" w:lineRule="auto"/>
        <w:rPr>
          <w:rFonts w:ascii="Open Sans" w:hAnsi="Open Sans" w:cs="Arial"/>
          <w:sz w:val="22"/>
          <w:szCs w:val="22"/>
        </w:rPr>
      </w:pPr>
    </w:p>
    <w:p w14:paraId="44A1B38A" w14:textId="77777777" w:rsidR="00346626" w:rsidRDefault="00346626" w:rsidP="00346626">
      <w:pPr>
        <w:bidi/>
        <w:spacing w:line="276" w:lineRule="auto"/>
        <w:rPr>
          <w:rFonts w:ascii="Open Sans" w:hAnsi="Open Sans" w:cs="Arial"/>
          <w:sz w:val="22"/>
          <w:szCs w:val="22"/>
        </w:rPr>
      </w:pPr>
    </w:p>
    <w:p w14:paraId="421688AA" w14:textId="77777777" w:rsidR="00346626" w:rsidRDefault="00346626" w:rsidP="00346626">
      <w:pPr>
        <w:bidi/>
        <w:spacing w:line="276" w:lineRule="auto"/>
        <w:rPr>
          <w:rFonts w:ascii="Open Sans" w:hAnsi="Open Sans" w:cs="Arial"/>
          <w:sz w:val="22"/>
          <w:szCs w:val="22"/>
        </w:rPr>
      </w:pPr>
    </w:p>
    <w:p w14:paraId="28AB3509" w14:textId="77777777" w:rsidR="00346626" w:rsidRDefault="00346626" w:rsidP="00346626">
      <w:pPr>
        <w:bidi/>
        <w:spacing w:line="276" w:lineRule="auto"/>
        <w:rPr>
          <w:rFonts w:ascii="Open Sans" w:hAnsi="Open Sans" w:cs="Arial"/>
          <w:sz w:val="22"/>
          <w:szCs w:val="22"/>
        </w:rPr>
      </w:pPr>
    </w:p>
    <w:p w14:paraId="6A9864FF" w14:textId="77777777" w:rsidR="00346626" w:rsidRDefault="00346626" w:rsidP="00346626">
      <w:pPr>
        <w:bidi/>
        <w:spacing w:line="276" w:lineRule="auto"/>
        <w:rPr>
          <w:rFonts w:ascii="Open Sans" w:hAnsi="Open Sans" w:cs="Arial"/>
          <w:sz w:val="22"/>
          <w:szCs w:val="22"/>
        </w:rPr>
      </w:pPr>
    </w:p>
    <w:p w14:paraId="641E449B" w14:textId="77777777" w:rsidR="00346626" w:rsidRDefault="00346626" w:rsidP="00346626">
      <w:pPr>
        <w:bidi/>
        <w:spacing w:line="276" w:lineRule="auto"/>
        <w:rPr>
          <w:rFonts w:ascii="Open Sans" w:hAnsi="Open Sans" w:cs="Arial"/>
          <w:sz w:val="22"/>
          <w:szCs w:val="22"/>
        </w:rPr>
      </w:pPr>
    </w:p>
    <w:p w14:paraId="05A9829D" w14:textId="77777777" w:rsidR="00346626" w:rsidRDefault="00346626" w:rsidP="00346626">
      <w:pPr>
        <w:bidi/>
        <w:spacing w:line="276" w:lineRule="auto"/>
        <w:rPr>
          <w:rFonts w:ascii="Open Sans" w:hAnsi="Open Sans" w:cs="Arial"/>
          <w:sz w:val="22"/>
          <w:szCs w:val="22"/>
        </w:rPr>
      </w:pPr>
    </w:p>
    <w:p w14:paraId="6D3B9428" w14:textId="77777777" w:rsidR="00346626" w:rsidRDefault="00346626" w:rsidP="00346626">
      <w:pPr>
        <w:bidi/>
        <w:spacing w:line="276" w:lineRule="auto"/>
        <w:rPr>
          <w:rFonts w:ascii="Open Sans" w:hAnsi="Open Sans" w:cs="Arial"/>
          <w:sz w:val="22"/>
          <w:szCs w:val="22"/>
        </w:rPr>
      </w:pPr>
    </w:p>
    <w:p w14:paraId="6B6A5F19" w14:textId="77777777" w:rsidR="00346626" w:rsidRPr="00365A72" w:rsidRDefault="00346626" w:rsidP="00346626">
      <w:pPr>
        <w:bidi/>
        <w:spacing w:line="276" w:lineRule="auto"/>
        <w:rPr>
          <w:rFonts w:ascii="Open Sans" w:hAnsi="Open Sans" w:cs="Arial"/>
          <w:sz w:val="22"/>
          <w:szCs w:val="22"/>
        </w:rPr>
      </w:pPr>
    </w:p>
    <w:p w14:paraId="2A736C89" w14:textId="77777777" w:rsidR="004A124F" w:rsidRDefault="004A124F" w:rsidP="00662750">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rPr>
      </w:pPr>
    </w:p>
    <w:p w14:paraId="055AF871" w14:textId="77777777" w:rsidR="004A124F" w:rsidRPr="00365A72" w:rsidRDefault="004A124F" w:rsidP="00365A72">
      <w:pPr>
        <w:pStyle w:val="Heading1"/>
        <w:keepLines/>
        <w:bidi/>
        <w:spacing w:after="120"/>
        <w:rPr>
          <w:rFonts w:ascii="Montserrat" w:hAnsi="Montserrat"/>
          <w:b/>
          <w:i w:val="0"/>
          <w:color w:val="C00000"/>
          <w:sz w:val="28"/>
          <w:szCs w:val="28"/>
          <w:rtl/>
        </w:rPr>
      </w:pPr>
      <w:r>
        <w:rPr>
          <w:rFonts w:ascii="Montserrat" w:hAnsi="Montserrat" w:hint="cs"/>
          <w:b/>
          <w:bCs/>
          <w:i w:val="0"/>
          <w:color w:val="C00000"/>
          <w:sz w:val="28"/>
          <w:szCs w:val="28"/>
          <w:u w:val="none"/>
          <w:rtl/>
        </w:rPr>
        <w:lastRenderedPageBreak/>
        <w:t>أدوات وموارد مشاركة المجتمع والمساءلة (</w:t>
      </w:r>
      <w:r>
        <w:rPr>
          <w:rFonts w:ascii="Montserrat" w:hAnsi="Montserrat"/>
          <w:b/>
          <w:bCs/>
          <w:i w:val="0"/>
          <w:color w:val="C00000"/>
          <w:sz w:val="28"/>
          <w:szCs w:val="28"/>
          <w:u w:val="none"/>
        </w:rPr>
        <w:t>CEA</w:t>
      </w:r>
      <w:r>
        <w:rPr>
          <w:rFonts w:ascii="Montserrat" w:hAnsi="Montserrat" w:hint="cs"/>
          <w:b/>
          <w:bCs/>
          <w:i w:val="0"/>
          <w:color w:val="C00000"/>
          <w:sz w:val="28"/>
          <w:szCs w:val="28"/>
          <w:u w:val="none"/>
          <w:rtl/>
        </w:rPr>
        <w:t>).</w:t>
      </w:r>
    </w:p>
    <w:p w14:paraId="0DF9CCBD" w14:textId="77777777" w:rsidR="004A124F" w:rsidRPr="00365A72" w:rsidRDefault="004A124F" w:rsidP="004A124F">
      <w:pPr>
        <w:pBdr>
          <w:top w:val="nil"/>
          <w:left w:val="nil"/>
          <w:bottom w:val="nil"/>
          <w:right w:val="nil"/>
          <w:between w:val="nil"/>
        </w:pBdr>
        <w:bidi/>
        <w:spacing w:line="276" w:lineRule="auto"/>
        <w:rPr>
          <w:rStyle w:val="Hyperlink"/>
          <w:rFonts w:ascii="Open Sans" w:hAnsi="Open Sans" w:cs="Arial"/>
          <w:b/>
          <w:bCs/>
          <w:sz w:val="22"/>
          <w:szCs w:val="22"/>
          <w:rtl/>
        </w:rPr>
      </w:pPr>
      <w:hyperlink r:id="rId13" w:history="1">
        <w:r>
          <w:rPr>
            <w:rStyle w:val="Hyperlink"/>
            <w:rFonts w:ascii="Open Sans" w:hAnsi="Open Sans" w:cs="Arial" w:hint="cs"/>
            <w:b/>
            <w:sz w:val="22"/>
            <w:rtl/>
          </w:rPr>
          <w:t>دليل الصليب الأحمر والهلال الأحمر لمشاركة المجتمع والمساءلة</w:t>
        </w:r>
      </w:hyperlink>
      <w:r w:rsidR="00346626">
        <w:rPr>
          <w:rFonts w:hint="cs"/>
          <w:rtl/>
        </w:rPr>
        <w:t xml:space="preserve"> </w:t>
      </w:r>
    </w:p>
    <w:p w14:paraId="43301F4A" w14:textId="77777777" w:rsidR="004A124F" w:rsidRPr="00365A72" w:rsidRDefault="004A124F" w:rsidP="004A124F">
      <w:pPr>
        <w:pBdr>
          <w:top w:val="nil"/>
          <w:left w:val="nil"/>
          <w:bottom w:val="nil"/>
          <w:right w:val="nil"/>
          <w:between w:val="nil"/>
        </w:pBdr>
        <w:bidi/>
        <w:spacing w:line="276" w:lineRule="auto"/>
        <w:rPr>
          <w:rFonts w:ascii="Open Sans" w:hAnsi="Open Sans" w:cs="Arial"/>
          <w:color w:val="000000"/>
          <w:sz w:val="22"/>
          <w:szCs w:val="22"/>
          <w:rtl/>
        </w:rPr>
      </w:pPr>
      <w:r>
        <w:rPr>
          <w:rFonts w:ascii="Open Sans" w:hAnsi="Open Sans" w:cs="Arial" w:hint="cs"/>
          <w:color w:val="000000"/>
          <w:sz w:val="22"/>
          <w:szCs w:val="22"/>
          <w:rtl/>
        </w:rPr>
        <w:t>يوفر دليل الصليب الأحمر والهلال الأحمر لمشاركة المجتمع والمساءلة (</w:t>
      </w:r>
      <w:r>
        <w:rPr>
          <w:rFonts w:ascii="Open Sans" w:hAnsi="Open Sans" w:cs="Arial"/>
          <w:color w:val="000000"/>
          <w:sz w:val="22"/>
          <w:szCs w:val="22"/>
        </w:rPr>
        <w:t>CEA</w:t>
      </w:r>
      <w:r>
        <w:rPr>
          <w:rFonts w:ascii="Open Sans" w:hAnsi="Open Sans" w:cs="Arial" w:hint="cs"/>
          <w:color w:val="000000"/>
          <w:sz w:val="22"/>
          <w:szCs w:val="22"/>
          <w:rtl/>
        </w:rPr>
        <w:t>) إرشادات عملية ودعماً للموظفين والمتطوعين عبر جميع القطاعات، بما في ذلك الإدارة، لدمج أساليب مشاركة المجتمع في عملهم. ويتضمن الدليل إرشادات خطوة بخطوة لتلبية الحد الأدنى من الإجراءات الثمانية عشر اللازمة للمشاركة المجتمعية الجيدة والمساءلة، ودراسات الحالة، والروابط للأدوات وحزم التدريب.</w:t>
      </w:r>
      <w:r>
        <w:rPr>
          <w:rFonts w:hint="cs"/>
          <w:rtl/>
        </w:rPr>
        <w:t xml:space="preserve"> </w:t>
      </w:r>
    </w:p>
    <w:p w14:paraId="687C7982" w14:textId="77777777" w:rsidR="004A124F" w:rsidRPr="00365A72" w:rsidRDefault="004A124F" w:rsidP="004A124F">
      <w:pPr>
        <w:pBdr>
          <w:top w:val="nil"/>
          <w:left w:val="nil"/>
          <w:bottom w:val="nil"/>
          <w:right w:val="nil"/>
          <w:between w:val="nil"/>
        </w:pBdr>
        <w:spacing w:line="276" w:lineRule="auto"/>
        <w:rPr>
          <w:rFonts w:ascii="Open Sans" w:hAnsi="Open Sans" w:cs="Open Sans"/>
          <w:color w:val="000000"/>
          <w:sz w:val="22"/>
          <w:szCs w:val="22"/>
        </w:rPr>
      </w:pPr>
    </w:p>
    <w:p w14:paraId="0A4E5695" w14:textId="77777777" w:rsidR="004A124F" w:rsidRPr="00365A72" w:rsidRDefault="004A124F" w:rsidP="004A124F">
      <w:pPr>
        <w:pBdr>
          <w:top w:val="nil"/>
          <w:left w:val="nil"/>
          <w:bottom w:val="nil"/>
          <w:right w:val="nil"/>
          <w:between w:val="nil"/>
        </w:pBdr>
        <w:bidi/>
        <w:spacing w:line="276" w:lineRule="auto"/>
        <w:rPr>
          <w:rFonts w:ascii="Open Sans" w:hAnsi="Open Sans" w:cs="Arial"/>
          <w:b/>
          <w:color w:val="000000"/>
          <w:sz w:val="22"/>
          <w:szCs w:val="22"/>
          <w:rtl/>
        </w:rPr>
      </w:pPr>
      <w:hyperlink r:id="rId14" w:history="1">
        <w:r>
          <w:rPr>
            <w:rStyle w:val="Hyperlink"/>
            <w:rFonts w:ascii="Open Sans" w:hAnsi="Open Sans" w:cs="Arial" w:hint="cs"/>
            <w:b/>
            <w:sz w:val="22"/>
            <w:rtl/>
          </w:rPr>
          <w:t xml:space="preserve">أداة </w:t>
        </w:r>
        <w:r>
          <w:rPr>
            <w:rStyle w:val="Hyperlink"/>
            <w:rFonts w:ascii="Open Sans" w:hAnsi="Open Sans" w:cs="Arial"/>
            <w:b/>
            <w:sz w:val="22"/>
          </w:rPr>
          <w:t>CEA</w:t>
        </w:r>
        <w:r>
          <w:rPr>
            <w:rStyle w:val="Hyperlink"/>
            <w:rFonts w:ascii="Open Sans" w:hAnsi="Open Sans" w:cs="Arial" w:hint="cs"/>
            <w:b/>
            <w:sz w:val="22"/>
            <w:rtl/>
          </w:rPr>
          <w:t xml:space="preserve"> (المشاركة المجتمعية والمسؤولية)</w:t>
        </w:r>
      </w:hyperlink>
    </w:p>
    <w:p w14:paraId="7A5C4A3F" w14:textId="77777777" w:rsidR="004A124F" w:rsidRPr="00365A72" w:rsidRDefault="004A124F" w:rsidP="004A124F">
      <w:pPr>
        <w:bidi/>
        <w:spacing w:line="276" w:lineRule="auto"/>
        <w:rPr>
          <w:rFonts w:ascii="Open Sans" w:hAnsi="Open Sans" w:cs="Arial"/>
          <w:bCs/>
          <w:color w:val="000000"/>
          <w:sz w:val="22"/>
          <w:szCs w:val="22"/>
          <w:rtl/>
        </w:rPr>
      </w:pPr>
      <w:r>
        <w:rPr>
          <w:rFonts w:ascii="Open Sans" w:hAnsi="Open Sans" w:cs="Arial" w:hint="cs"/>
          <w:color w:val="000000"/>
          <w:sz w:val="22"/>
          <w:szCs w:val="22"/>
          <w:rtl/>
        </w:rPr>
        <w:t xml:space="preserve">ترافق أداة </w:t>
      </w:r>
      <w:r>
        <w:rPr>
          <w:rFonts w:ascii="Open Sans" w:hAnsi="Open Sans" w:cs="Arial"/>
          <w:color w:val="000000"/>
          <w:sz w:val="22"/>
          <w:szCs w:val="22"/>
        </w:rPr>
        <w:t>CEA</w:t>
      </w:r>
      <w:r>
        <w:rPr>
          <w:rFonts w:ascii="Open Sans" w:hAnsi="Open Sans" w:cs="Arial" w:hint="cs"/>
          <w:color w:val="000000"/>
          <w:sz w:val="22"/>
          <w:szCs w:val="22"/>
          <w:rtl/>
        </w:rPr>
        <w:t xml:space="preserve"> دليل </w:t>
      </w:r>
      <w:r>
        <w:rPr>
          <w:rFonts w:ascii="Open Sans" w:hAnsi="Open Sans" w:cs="Arial"/>
          <w:color w:val="000000"/>
          <w:sz w:val="22"/>
          <w:szCs w:val="22"/>
        </w:rPr>
        <w:t>CEA</w:t>
      </w:r>
      <w:r>
        <w:rPr>
          <w:rFonts w:ascii="Open Sans" w:hAnsi="Open Sans" w:cs="Arial" w:hint="cs"/>
          <w:color w:val="000000"/>
          <w:sz w:val="22"/>
          <w:szCs w:val="22"/>
          <w:rtl/>
        </w:rPr>
        <w:t xml:space="preserve"> وتُستضاف على المركز المجتمعي (أدناه). تتضمن أداة </w:t>
      </w:r>
      <w:r>
        <w:rPr>
          <w:rFonts w:ascii="Open Sans" w:hAnsi="Open Sans" w:cs="Arial"/>
          <w:color w:val="000000"/>
          <w:sz w:val="22"/>
          <w:szCs w:val="22"/>
        </w:rPr>
        <w:t>CEA</w:t>
      </w:r>
      <w:r>
        <w:rPr>
          <w:rFonts w:ascii="Open Sans" w:hAnsi="Open Sans" w:cs="Arial" w:hint="cs"/>
          <w:color w:val="000000"/>
          <w:sz w:val="22"/>
          <w:szCs w:val="22"/>
          <w:rtl/>
        </w:rPr>
        <w:t xml:space="preserve"> قوالب، قوائم فحص، وإرشادات مفصلة، بما في ذلك أداة التقييم، أداة الرصد والتقييم، إرشادات وأدوات لإعداد آليات التغذية الراجعة، وقوالب لسياسات واستراتيجيات وخطط العمل الخاصة بـ </w:t>
      </w:r>
      <w:r>
        <w:rPr>
          <w:rFonts w:ascii="Open Sans" w:hAnsi="Open Sans" w:cs="Arial"/>
          <w:color w:val="000000"/>
          <w:sz w:val="22"/>
          <w:szCs w:val="22"/>
        </w:rPr>
        <w:t>CEA</w:t>
      </w:r>
      <w:r>
        <w:rPr>
          <w:rFonts w:ascii="Open Sans" w:hAnsi="Open Sans" w:cs="Arial" w:hint="cs"/>
          <w:color w:val="000000"/>
          <w:sz w:val="22"/>
          <w:szCs w:val="22"/>
          <w:rtl/>
        </w:rPr>
        <w:t>. تدعم هذه الأدوات الموظفين والمتطوعين في تطبيق الإجراءات الأساسية للتفاعل المجتمعي والمساءلة (</w:t>
      </w:r>
      <w:r>
        <w:rPr>
          <w:rFonts w:ascii="Open Sans" w:hAnsi="Open Sans" w:cs="Arial"/>
          <w:color w:val="000000"/>
          <w:sz w:val="22"/>
          <w:szCs w:val="22"/>
        </w:rPr>
        <w:t>CEA</w:t>
      </w:r>
      <w:r>
        <w:rPr>
          <w:rFonts w:ascii="Open Sans" w:hAnsi="Open Sans" w:cs="Arial" w:hint="cs"/>
          <w:color w:val="000000"/>
          <w:sz w:val="22"/>
          <w:szCs w:val="22"/>
          <w:rtl/>
        </w:rPr>
        <w:t>).</w:t>
      </w:r>
    </w:p>
    <w:p w14:paraId="419954F6" w14:textId="77777777" w:rsidR="004A124F" w:rsidRPr="00365A72" w:rsidRDefault="004A124F" w:rsidP="004A124F">
      <w:pPr>
        <w:spacing w:line="276" w:lineRule="auto"/>
        <w:rPr>
          <w:rFonts w:ascii="Open Sans" w:hAnsi="Open Sans" w:cs="Open Sans"/>
          <w:sz w:val="22"/>
          <w:szCs w:val="22"/>
          <w:lang w:eastAsia="x-none"/>
        </w:rPr>
      </w:pPr>
    </w:p>
    <w:p w14:paraId="325D47CC" w14:textId="77777777" w:rsidR="004A124F" w:rsidRPr="00365A72" w:rsidRDefault="004A124F" w:rsidP="004A124F">
      <w:pPr>
        <w:pBdr>
          <w:top w:val="nil"/>
          <w:left w:val="nil"/>
          <w:bottom w:val="nil"/>
          <w:right w:val="nil"/>
          <w:between w:val="nil"/>
        </w:pBdr>
        <w:bidi/>
        <w:spacing w:line="276" w:lineRule="auto"/>
        <w:rPr>
          <w:rFonts w:ascii="Open Sans" w:hAnsi="Open Sans" w:cs="Arial"/>
          <w:b/>
          <w:color w:val="000000"/>
          <w:sz w:val="22"/>
          <w:szCs w:val="22"/>
          <w:vertAlign w:val="superscript"/>
          <w:rtl/>
        </w:rPr>
      </w:pPr>
      <w:hyperlink r:id="rId15" w:history="1">
        <w:r>
          <w:rPr>
            <w:rStyle w:val="Hyperlink"/>
            <w:rFonts w:ascii="Open Sans" w:hAnsi="Open Sans" w:cs="Arial" w:hint="cs"/>
            <w:b/>
            <w:sz w:val="22"/>
            <w:rtl/>
          </w:rPr>
          <w:t>مركز المشاركة المجتمعية</w:t>
        </w:r>
      </w:hyperlink>
    </w:p>
    <w:p w14:paraId="3F981C33" w14:textId="24FE6D9D" w:rsidR="004A124F" w:rsidRPr="00365A72" w:rsidRDefault="004A124F" w:rsidP="004A124F">
      <w:pPr>
        <w:pBdr>
          <w:top w:val="nil"/>
          <w:left w:val="nil"/>
          <w:bottom w:val="nil"/>
          <w:right w:val="nil"/>
          <w:between w:val="nil"/>
        </w:pBdr>
        <w:bidi/>
        <w:spacing w:line="276" w:lineRule="auto"/>
        <w:rPr>
          <w:rStyle w:val="Hyperlink"/>
          <w:rFonts w:ascii="Open Sans" w:hAnsi="Open Sans" w:cs="Arial"/>
          <w:sz w:val="22"/>
          <w:szCs w:val="22"/>
          <w:rtl/>
        </w:rPr>
      </w:pPr>
      <w:r>
        <w:rPr>
          <w:rFonts w:ascii="Open Sans" w:hAnsi="Open Sans" w:cs="Arial" w:hint="cs"/>
          <w:color w:val="000000"/>
          <w:sz w:val="22"/>
          <w:szCs w:val="22"/>
          <w:rtl/>
        </w:rPr>
        <w:t xml:space="preserve">مركز المشاركة المجتمعية هو منصة مجانية على الإنترنت، يستضيفها الصليب الأحمر البريطاني، توفر "مركزا جامعا" للمشاركة المجتمعية والمساءلة. يحتوي المركز على أكثر من 300 مورد ويتضمن حزم تدريبية ولعبة تعلم إلكتروني وخريطة تفاعلية ومنتدى دردشة بالإضافة إلى أدوات وأدلة ودراسات حالة حول مجموعة من الموضوعات من آليات التعليقات إلى البرامج الإذاعية. بتمويل من مكتب المملكة المتحدة للشؤون الخارجية والكومنولث والتنمية، يتوفر المركز باللغات </w:t>
      </w:r>
      <w:proofErr w:type="gramStart"/>
      <w:r>
        <w:rPr>
          <w:rFonts w:ascii="Open Sans" w:hAnsi="Open Sans" w:cs="Arial" w:hint="cs"/>
          <w:color w:val="000000"/>
          <w:sz w:val="22"/>
          <w:szCs w:val="22"/>
          <w:rtl/>
        </w:rPr>
        <w:t>الإنجليزية</w:t>
      </w:r>
      <w:proofErr w:type="gramEnd"/>
      <w:r>
        <w:rPr>
          <w:rFonts w:ascii="Open Sans" w:hAnsi="Open Sans" w:cs="Arial" w:hint="cs"/>
          <w:color w:val="000000"/>
          <w:sz w:val="22"/>
          <w:szCs w:val="22"/>
          <w:rtl/>
        </w:rPr>
        <w:t xml:space="preserve"> والفرنسية والإسبانية والعربية.</w:t>
      </w:r>
      <w:r>
        <w:rPr>
          <w:rFonts w:hint="cs"/>
          <w:rtl/>
        </w:rPr>
        <w:t xml:space="preserve"> </w:t>
      </w:r>
    </w:p>
    <w:p w14:paraId="0651A606" w14:textId="77777777" w:rsidR="004A124F" w:rsidRPr="00662750" w:rsidRDefault="004A124F" w:rsidP="00662750">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rPr>
      </w:pPr>
    </w:p>
    <w:sectPr w:rsidR="004A124F" w:rsidRPr="00662750" w:rsidSect="00D838C7">
      <w:headerReference w:type="default" r:id="rId16"/>
      <w:footerReference w:type="even" r:id="rId17"/>
      <w:footerReference w:type="default" r:id="rId18"/>
      <w:footerReference w:type="first" r:id="rId19"/>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E4742" w14:textId="77777777" w:rsidR="00041EEC" w:rsidRDefault="00041EEC" w:rsidP="003218D0">
      <w:r>
        <w:separator/>
      </w:r>
    </w:p>
  </w:endnote>
  <w:endnote w:type="continuationSeparator" w:id="0">
    <w:p w14:paraId="6C5D2A2C" w14:textId="77777777" w:rsidR="00041EEC" w:rsidRDefault="00041EEC"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1E0E" w14:textId="6D07EAB5" w:rsidR="003160C3" w:rsidRDefault="00D056B8">
    <w:pPr>
      <w:pStyle w:val="Footer"/>
      <w:bidi/>
      <w:rPr>
        <w:rtl/>
      </w:rPr>
    </w:pPr>
    <w:r>
      <w:rPr>
        <w:rFonts w:hint="cs"/>
        <w:noProof/>
        <w:rtl/>
      </w:rPr>
      <mc:AlternateContent>
        <mc:Choice Requires="wps">
          <w:drawing>
            <wp:anchor distT="0" distB="0" distL="0" distR="0" simplePos="0" relativeHeight="251676672" behindDoc="0" locked="0" layoutInCell="1" allowOverlap="1" wp14:anchorId="63C42061" wp14:editId="09927A33">
              <wp:simplePos x="635" y="635"/>
              <wp:positionH relativeFrom="page">
                <wp:align>left</wp:align>
              </wp:positionH>
              <wp:positionV relativeFrom="page">
                <wp:align>bottom</wp:align>
              </wp:positionV>
              <wp:extent cx="443865" cy="443865"/>
              <wp:effectExtent l="0" t="0" r="6350" b="0"/>
              <wp:wrapNone/>
              <wp:docPr id="1909728719"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35B921" w14:textId="230BEFF8" w:rsidR="00D056B8" w:rsidRPr="00D056B8" w:rsidRDefault="00D056B8" w:rsidP="00D056B8">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C42061" id="_x0000_t202" coordsize="21600,21600" o:spt="202" path="m,l,21600r21600,l21600,xe">
              <v:stroke joinstyle="miter"/>
              <v:path gradientshapeok="t" o:connecttype="rect"/>
            </v:shapetype>
            <v:shape id="Text Box 2" o:spid="_x0000_s1026" type="#_x0000_t202" alt="Public" style="position:absolute;left:0;text-align:left;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735B921" w14:textId="230BEFF8" w:rsidR="00D056B8" w:rsidRPr="00D056B8" w:rsidRDefault="00D056B8" w:rsidP="00D056B8">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r>
      <w:rPr>
        <w:rFonts w:hint="cs"/>
        <w:noProof/>
        <w:rtl/>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A3CA4" w14:textId="2558313E" w:rsidR="003160C3" w:rsidRDefault="00D056B8">
    <w:pPr>
      <w:pStyle w:val="Footer"/>
      <w:bidi/>
      <w:rPr>
        <w:rtl/>
      </w:rPr>
    </w:pPr>
    <w:r>
      <w:rPr>
        <w:rFonts w:hint="cs"/>
        <w:noProof/>
        <w:rtl/>
      </w:rPr>
      <mc:AlternateContent>
        <mc:Choice Requires="wps">
          <w:drawing>
            <wp:anchor distT="0" distB="0" distL="0" distR="0" simplePos="0" relativeHeight="251677696" behindDoc="0" locked="0" layoutInCell="1" allowOverlap="1" wp14:anchorId="4365E539" wp14:editId="79133906">
              <wp:simplePos x="0" y="0"/>
              <wp:positionH relativeFrom="page">
                <wp:align>left</wp:align>
              </wp:positionH>
              <wp:positionV relativeFrom="page">
                <wp:align>bottom</wp:align>
              </wp:positionV>
              <wp:extent cx="443865" cy="443865"/>
              <wp:effectExtent l="0" t="0" r="6350" b="0"/>
              <wp:wrapNone/>
              <wp:docPr id="1624475495"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17D993" w14:textId="0B027CDA" w:rsidR="00D056B8" w:rsidRPr="00D056B8" w:rsidRDefault="00D056B8" w:rsidP="00D056B8">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365E539" id="_x0000_t202" coordsize="21600,21600" o:spt="202" path="m,l,21600r21600,l21600,xe">
              <v:stroke joinstyle="miter"/>
              <v:path gradientshapeok="t" o:connecttype="rect"/>
            </v:shapetype>
            <v:shape id="Text Box 3" o:spid="_x0000_s1027" type="#_x0000_t202" alt="Public" style="position:absolute;left:0;text-align:left;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117D993" w14:textId="0B027CDA" w:rsidR="00D056B8" w:rsidRPr="00D056B8" w:rsidRDefault="00D056B8" w:rsidP="00D056B8">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D0B81" w14:textId="019D6399" w:rsidR="00D056B8" w:rsidRDefault="00D056B8">
    <w:pPr>
      <w:pStyle w:val="Footer"/>
      <w:bidi/>
      <w:rPr>
        <w:rtl/>
      </w:rPr>
    </w:pPr>
    <w:r>
      <w:rPr>
        <w:rFonts w:hint="cs"/>
        <w:noProof/>
        <w:rtl/>
      </w:rPr>
      <mc:AlternateContent>
        <mc:Choice Requires="wps">
          <w:drawing>
            <wp:anchor distT="0" distB="0" distL="0" distR="0" simplePos="0" relativeHeight="251675648" behindDoc="0" locked="0" layoutInCell="1" allowOverlap="1" wp14:anchorId="0E028DCC" wp14:editId="77A0AE09">
              <wp:simplePos x="635" y="635"/>
              <wp:positionH relativeFrom="page">
                <wp:align>left</wp:align>
              </wp:positionH>
              <wp:positionV relativeFrom="page">
                <wp:align>bottom</wp:align>
              </wp:positionV>
              <wp:extent cx="443865" cy="443865"/>
              <wp:effectExtent l="0" t="0" r="6350" b="0"/>
              <wp:wrapNone/>
              <wp:docPr id="14435062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453C43" w14:textId="2025B893" w:rsidR="00D056B8" w:rsidRPr="00D056B8" w:rsidRDefault="00D056B8" w:rsidP="00D056B8">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028DCC" id="_x0000_t202" coordsize="21600,21600" o:spt="202" path="m,l,21600r21600,l21600,xe">
              <v:stroke joinstyle="miter"/>
              <v:path gradientshapeok="t" o:connecttype="rect"/>
            </v:shapetype>
            <v:shape id="Text Box 1" o:spid="_x0000_s1028" type="#_x0000_t202" alt="Public" style="position:absolute;left:0;text-align:left;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69453C43" w14:textId="2025B893" w:rsidR="00D056B8" w:rsidRPr="00D056B8" w:rsidRDefault="00D056B8" w:rsidP="00D056B8">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E1773" w14:textId="77777777" w:rsidR="00041EEC" w:rsidRDefault="00041EEC" w:rsidP="003218D0">
      <w:r>
        <w:separator/>
      </w:r>
    </w:p>
  </w:footnote>
  <w:footnote w:type="continuationSeparator" w:id="0">
    <w:p w14:paraId="5ABD2AFD" w14:textId="77777777" w:rsidR="00041EEC" w:rsidRDefault="00041EEC" w:rsidP="003218D0">
      <w:r>
        <w:continuationSeparator/>
      </w:r>
    </w:p>
  </w:footnote>
  <w:footnote w:id="1">
    <w:p w14:paraId="75A3A7BE" w14:textId="2CF167F6" w:rsidR="00365A72" w:rsidRPr="00365A72" w:rsidRDefault="00365A72">
      <w:pPr>
        <w:pStyle w:val="FootnoteText"/>
        <w:bidi/>
        <w:rPr>
          <w:rFonts w:ascii="Open Sans" w:hAnsi="Open Sans" w:cs="Arial"/>
          <w:sz w:val="18"/>
          <w:szCs w:val="18"/>
          <w:rtl/>
        </w:rPr>
      </w:pPr>
      <w:r>
        <w:rPr>
          <w:rStyle w:val="FootnoteReference"/>
          <w:rFonts w:ascii="Open Sans" w:hAnsi="Open Sans" w:cs="Open Sans"/>
          <w:sz w:val="18"/>
          <w:szCs w:val="18"/>
        </w:rPr>
        <w:footnoteRef/>
      </w:r>
      <w:r>
        <w:rPr>
          <w:rFonts w:ascii="Open Sans" w:hAnsi="Open Sans" w:cs="Arial" w:hint="cs"/>
          <w:sz w:val="18"/>
          <w:szCs w:val="18"/>
          <w:rtl/>
        </w:rPr>
        <w:t xml:space="preserve"> انظر </w:t>
      </w:r>
      <w:hyperlink r:id="rId1" w:history="1">
        <w:r>
          <w:rPr>
            <w:rStyle w:val="Hyperlink"/>
            <w:rFonts w:ascii="Open Sans" w:hAnsi="Open Sans" w:cs="Arial" w:hint="cs"/>
            <w:sz w:val="18"/>
            <w:rtl/>
          </w:rPr>
          <w:t>مدونة السلوك الخاصة بالحركة الدولية للصليب الأحمر والهلال الأحمر في مجال الإغاثة في حالات الكوارث.</w:t>
        </w:r>
      </w:hyperlink>
      <w:r>
        <w:rPr>
          <w:rFonts w:ascii="Open Sans" w:hAnsi="Open Sans" w:cs="Arial" w:hint="cs"/>
          <w:sz w:val="18"/>
          <w:szCs w:val="18"/>
          <w:rtl/>
        </w:rPr>
        <w:t xml:space="preserve"> و </w:t>
      </w:r>
      <w:hyperlink r:id="rId2" w:history="1">
        <w:r>
          <w:rPr>
            <w:rStyle w:val="Hyperlink"/>
            <w:rFonts w:ascii="Open Sans" w:hAnsi="Open Sans" w:cs="Arial" w:hint="cs"/>
            <w:sz w:val="18"/>
            <w:rtl/>
          </w:rPr>
          <w:t>المبادئ والقواعد للمساعدة الإنسانية للصليب الأحمر والهلال الأحمر</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8442" w14:textId="7C27377F" w:rsidR="00751EB3" w:rsidRDefault="00751EB3">
    <w:pPr>
      <w:pStyle w:val="Header"/>
    </w:pPr>
  </w:p>
  <w:tbl>
    <w:tblPr>
      <w:tblStyle w:val="1"/>
      <w:bidiVisual/>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b/>
              <w:color w:val="000000"/>
              <w:rtl/>
            </w:rPr>
          </w:pPr>
          <w:r>
            <w:rPr>
              <w:rFonts w:ascii="Montserrat" w:hAnsi="Montserrat" w:hint="cs"/>
              <w:b/>
              <w:noProof/>
              <w:color w:val="000000"/>
              <w:sz w:val="22"/>
              <w:rtl/>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hint="cs"/>
              <w:b/>
              <w:bCs/>
              <w:color w:val="000000"/>
              <w:rtl/>
            </w:rPr>
            <w:t xml:space="preserve"> تدريب فرع المشاركة المجتمعية</w:t>
          </w:r>
        </w:p>
        <w:p w14:paraId="0206F62E" w14:textId="1924D338"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color w:val="000000"/>
              <w:sz w:val="22"/>
              <w:szCs w:val="22"/>
              <w:rtl/>
            </w:rPr>
          </w:pPr>
          <w:r>
            <w:rPr>
              <w:rFonts w:ascii="Montserrat" w:hAnsi="Montserrat" w:hint="cs"/>
              <w:color w:val="000000"/>
              <w:sz w:val="21"/>
              <w:szCs w:val="21"/>
              <w:rtl/>
            </w:rPr>
            <w:t>الوحدة 1 - النشاط 2: ما هي المشاركة المجتمعية؟</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DCD75BE"/>
    <w:multiLevelType w:val="hybridMultilevel"/>
    <w:tmpl w:val="92066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9C52097"/>
    <w:multiLevelType w:val="hybridMultilevel"/>
    <w:tmpl w:val="3FE49FB6"/>
    <w:lvl w:ilvl="0" w:tplc="F84E7EBA">
      <w:start w:val="1"/>
      <w:numFmt w:val="bullet"/>
      <w:lvlText w:val="•"/>
      <w:lvlJc w:val="left"/>
      <w:pPr>
        <w:ind w:left="1080" w:hanging="720"/>
      </w:pPr>
      <w:rPr>
        <w:rFonts w:ascii="Calibri" w:eastAsiaTheme="minorHAnsi" w:hAnsi="Calibri" w:cs="Calibri" w:hint="default"/>
      </w:rPr>
    </w:lvl>
    <w:lvl w:ilvl="1" w:tplc="1D34A272">
      <w:start w:val="14"/>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A77571A"/>
    <w:multiLevelType w:val="hybridMultilevel"/>
    <w:tmpl w:val="A29EFD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9"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8B3147"/>
    <w:multiLevelType w:val="hybridMultilevel"/>
    <w:tmpl w:val="478670F2"/>
    <w:lvl w:ilvl="0" w:tplc="F84E7EBA">
      <w:start w:val="1"/>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182EE5"/>
    <w:multiLevelType w:val="hybridMultilevel"/>
    <w:tmpl w:val="378E8D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6"/>
  </w:num>
  <w:num w:numId="2" w16cid:durableId="1522477921">
    <w:abstractNumId w:val="5"/>
  </w:num>
  <w:num w:numId="3" w16cid:durableId="1083918876">
    <w:abstractNumId w:val="17"/>
  </w:num>
  <w:num w:numId="4" w16cid:durableId="1890652525">
    <w:abstractNumId w:val="33"/>
  </w:num>
  <w:num w:numId="5" w16cid:durableId="1210269071">
    <w:abstractNumId w:val="12"/>
  </w:num>
  <w:num w:numId="6" w16cid:durableId="615407595">
    <w:abstractNumId w:val="0"/>
  </w:num>
  <w:num w:numId="7" w16cid:durableId="401175372">
    <w:abstractNumId w:val="25"/>
  </w:num>
  <w:num w:numId="8" w16cid:durableId="1875846469">
    <w:abstractNumId w:val="41"/>
  </w:num>
  <w:num w:numId="9" w16cid:durableId="929119113">
    <w:abstractNumId w:val="31"/>
  </w:num>
  <w:num w:numId="10" w16cid:durableId="821507668">
    <w:abstractNumId w:val="40"/>
  </w:num>
  <w:num w:numId="11" w16cid:durableId="59913523">
    <w:abstractNumId w:val="36"/>
  </w:num>
  <w:num w:numId="12" w16cid:durableId="1427112642">
    <w:abstractNumId w:val="38"/>
  </w:num>
  <w:num w:numId="13" w16cid:durableId="1620143610">
    <w:abstractNumId w:val="20"/>
  </w:num>
  <w:num w:numId="14" w16cid:durableId="1292595848">
    <w:abstractNumId w:val="23"/>
  </w:num>
  <w:num w:numId="15" w16cid:durableId="592015338">
    <w:abstractNumId w:val="11"/>
  </w:num>
  <w:num w:numId="16" w16cid:durableId="2040467066">
    <w:abstractNumId w:val="2"/>
  </w:num>
  <w:num w:numId="17" w16cid:durableId="1073117386">
    <w:abstractNumId w:val="6"/>
  </w:num>
  <w:num w:numId="18" w16cid:durableId="8117482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8"/>
  </w:num>
  <w:num w:numId="24" w16cid:durableId="911504754">
    <w:abstractNumId w:val="19"/>
  </w:num>
  <w:num w:numId="25" w16cid:durableId="206262086">
    <w:abstractNumId w:val="37"/>
  </w:num>
  <w:num w:numId="26" w16cid:durableId="999700151">
    <w:abstractNumId w:val="29"/>
  </w:num>
  <w:num w:numId="27" w16cid:durableId="594942446">
    <w:abstractNumId w:val="18"/>
  </w:num>
  <w:num w:numId="28" w16cid:durableId="1780366618">
    <w:abstractNumId w:val="3"/>
  </w:num>
  <w:num w:numId="29" w16cid:durableId="1362320480">
    <w:abstractNumId w:val="35"/>
  </w:num>
  <w:num w:numId="30" w16cid:durableId="1776438900">
    <w:abstractNumId w:val="16"/>
  </w:num>
  <w:num w:numId="31" w16cid:durableId="259678138">
    <w:abstractNumId w:val="1"/>
  </w:num>
  <w:num w:numId="32" w16cid:durableId="1010763851">
    <w:abstractNumId w:val="7"/>
  </w:num>
  <w:num w:numId="33" w16cid:durableId="1503549810">
    <w:abstractNumId w:val="43"/>
  </w:num>
  <w:num w:numId="34" w16cid:durableId="221600071">
    <w:abstractNumId w:val="10"/>
  </w:num>
  <w:num w:numId="35" w16cid:durableId="520819980">
    <w:abstractNumId w:val="15"/>
  </w:num>
  <w:num w:numId="36" w16cid:durableId="416482336">
    <w:abstractNumId w:val="34"/>
  </w:num>
  <w:num w:numId="37" w16cid:durableId="286668598">
    <w:abstractNumId w:val="27"/>
  </w:num>
  <w:num w:numId="38" w16cid:durableId="1946114287">
    <w:abstractNumId w:val="8"/>
  </w:num>
  <w:num w:numId="39" w16cid:durableId="218133012">
    <w:abstractNumId w:val="4"/>
  </w:num>
  <w:num w:numId="40" w16cid:durableId="768046129">
    <w:abstractNumId w:val="32"/>
  </w:num>
  <w:num w:numId="41" w16cid:durableId="1484152779">
    <w:abstractNumId w:val="21"/>
  </w:num>
  <w:num w:numId="42" w16cid:durableId="1854802037">
    <w:abstractNumId w:val="13"/>
  </w:num>
  <w:num w:numId="43" w16cid:durableId="652830380">
    <w:abstractNumId w:val="42"/>
  </w:num>
  <w:num w:numId="44" w16cid:durableId="51461570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41EEC"/>
    <w:rsid w:val="00064E70"/>
    <w:rsid w:val="0009556B"/>
    <w:rsid w:val="000F51D0"/>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46626"/>
    <w:rsid w:val="00354281"/>
    <w:rsid w:val="0035505B"/>
    <w:rsid w:val="00365A72"/>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A124F"/>
    <w:rsid w:val="004B05E0"/>
    <w:rsid w:val="004B1468"/>
    <w:rsid w:val="004D1B75"/>
    <w:rsid w:val="004E73F6"/>
    <w:rsid w:val="00533563"/>
    <w:rsid w:val="0055462F"/>
    <w:rsid w:val="00556542"/>
    <w:rsid w:val="0057010F"/>
    <w:rsid w:val="005A0109"/>
    <w:rsid w:val="005A0F72"/>
    <w:rsid w:val="005A15EC"/>
    <w:rsid w:val="005A34BA"/>
    <w:rsid w:val="005B54DC"/>
    <w:rsid w:val="005F0682"/>
    <w:rsid w:val="00625B3C"/>
    <w:rsid w:val="00632534"/>
    <w:rsid w:val="00634AD6"/>
    <w:rsid w:val="00641235"/>
    <w:rsid w:val="00645171"/>
    <w:rsid w:val="00662750"/>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C382C"/>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056B8"/>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F042CF"/>
    <w:rsid w:val="00F10F2F"/>
    <w:rsid w:val="00F232E0"/>
    <w:rsid w:val="00F2542A"/>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uiPriority w:val="99"/>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Arial"/>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Arial"/>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Arial"/>
      <w:sz w:val="22"/>
      <w:szCs w:val="22"/>
    </w:rPr>
  </w:style>
  <w:style w:type="paragraph" w:styleId="BalloonText">
    <w:name w:val="Balloon Text"/>
    <w:basedOn w:val="Normal"/>
    <w:link w:val="BalloonTextChar"/>
    <w:uiPriority w:val="99"/>
    <w:semiHidden/>
    <w:unhideWhenUsed/>
    <w:rsid w:val="001807CE"/>
    <w:rPr>
      <w:rFonts w:ascii="Lucida Grande" w:hAnsi="Lucida Grande" w:cs="Arial"/>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Arial"/>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Arial"/>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Arial"/>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Arial"/>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ifrc-cea-gui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unityengagementhub.org/resource/movement-wide-commitments-for-ce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ommunityengagementhub.org/"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engagementhub.org/resource/cea-toolk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ifrc.org/document/principles-rules-humanitarian-assistance" TargetMode="External"/><Relationship Id="rId1" Type="http://schemas.openxmlformats.org/officeDocument/2006/relationships/hyperlink" Target="https://www.ifrc.org/document/code-conduct-international-red-cross-and-red-crescent-movement-and-ngos-disaster-relie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2.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15895AB8-CB04-43D5-9CD4-FCB72F9CA48D}"/>
</file>

<file path=customXml/itemProps4.xml><?xml version="1.0" encoding="utf-8"?>
<ds:datastoreItem xmlns:ds="http://schemas.openxmlformats.org/officeDocument/2006/customXml" ds:itemID="{7C26BA49-6C4A-4B34-BAD8-45DED7278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Stephanie Migaud</cp:lastModifiedBy>
  <cp:revision>5</cp:revision>
  <cp:lastPrinted>2016-12-05T10:16:00Z</cp:lastPrinted>
  <dcterms:created xsi:type="dcterms:W3CDTF">2023-06-26T18:19:00Z</dcterms:created>
  <dcterms:modified xsi:type="dcterms:W3CDTF">2024-12-13T11:06:00Z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560a281f,71d425cf,60d38767</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2023-07-07T15:47:15Z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81562edb-c7d4-462c-b28c-9f3346fb4938</vt:lpwstr>
  </property>
  <property fmtid="{D5CDD505-2E9C-101B-9397-08002B2CF9AE}" pid="12" name="MSIP_Label_caf3f7fd-5cd4-4287-9002-aceb9af13c42_ContentBits">
    <vt:lpwstr>2</vt:lpwstr>
  </property>
</Properties>
</file>