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body>
    <w:p w:rsidRPr="00D93433" w:rsidR="006723CF" w:rsidP="00365A72" w:rsidRDefault="00662750" w14:paraId="1CC5C626" w14:textId="18B212A0">
      <w:pPr>
        <w:pStyle w:val="Heading1"/>
        <w:keepLines/>
        <w:spacing w:before="240" w:after="240"/>
        <w:rPr>
          <w:rFonts w:ascii="Montserrat" w:hAnsi="Montserrat"/>
          <w:b/>
          <w:i w:val="0"/>
          <w:color w:val="C00000"/>
          <w:sz w:val="32"/>
          <w:szCs w:val="32"/>
          <w:u w:val="none"/>
        </w:rPr>
      </w:pPr>
      <w:r w:rsidRPr="00D93433">
        <w:rPr>
          <w:rFonts w:ascii="Montserrat" w:hAnsi="Montserrat"/>
          <w:b/>
          <w:i w:val="0"/>
          <w:color w:val="C00000"/>
          <w:sz w:val="32"/>
          <w:szCs w:val="20"/>
          <w:u w:val="none"/>
        </w:rPr>
        <w:t>M1.2- Qu'est-ce que l'engagement communautaire ?</w:t>
      </w:r>
    </w:p>
    <w:p w:rsidRPr="00D93433" w:rsidR="00662750" w:rsidP="00662750" w:rsidRDefault="00662750" w14:paraId="37C58209" w14:textId="33DED61B">
      <w:pPr>
        <w:spacing w:line="276" w:lineRule="auto"/>
        <w:rPr>
          <w:rFonts w:ascii="Open Sans" w:hAnsi="Open Sans" w:cs="Open Sans"/>
          <w:sz w:val="20"/>
          <w:szCs w:val="20"/>
        </w:rPr>
      </w:pPr>
      <w:r w:rsidRPr="00D93433">
        <w:rPr>
          <w:rFonts w:ascii="Open Sans" w:hAnsi="Open Sans"/>
          <w:sz w:val="20"/>
          <w:szCs w:val="22"/>
        </w:rPr>
        <w:t>L'engagement communautaire et la redevabilité sont une méthode de travail qui reconnaît et valorise tous les membres de la communauté en tant que partenaires égaux, dont les divers besoins, priorités et préférences guident toutes nos actions. Nous y parvenons en intégrant dans nos programmes et nos opérations une participation significative de la communauté, une communication ouverte et honnête ainsi que des mécanismes permettant d'écouter les retours d'information et d'y donner suite. Les preuves, l'expérience et le bon sens nous disent que lorsque nous faisons réellement participer les communautés et qu'elles jouent un rôle actif dans la conception et la gestion des programmes et des opérations, les résultats sont plus efficaces, plus durables et de meilleure qualité.</w:t>
      </w:r>
    </w:p>
    <w:p w:rsidRPr="00D93433" w:rsidR="00662750" w:rsidP="00662750" w:rsidRDefault="00662750" w14:paraId="41C45A90" w14:textId="06C89830">
      <w:pPr>
        <w:pBdr>
          <w:top w:val="none" w:color="000000" w:sz="0" w:space="0"/>
          <w:left w:val="none" w:color="000000" w:sz="0" w:space="0"/>
          <w:bottom w:val="none" w:color="000000" w:sz="0" w:space="0"/>
          <w:right w:val="none" w:color="000000" w:sz="0" w:space="0"/>
          <w:between w:val="nil"/>
        </w:pBdr>
        <w:spacing w:line="276" w:lineRule="auto"/>
        <w:jc w:val="both"/>
        <w:rPr>
          <w:rFonts w:ascii="Open Sans" w:hAnsi="Open Sans" w:eastAsia="Arial" w:cs="Open Sans"/>
          <w:color w:val="000000"/>
          <w:sz w:val="20"/>
          <w:szCs w:val="20"/>
        </w:rPr>
      </w:pPr>
      <w:r w:rsidRPr="00D93433">
        <w:rPr>
          <w:rFonts w:ascii="Open Sans" w:hAnsi="Open Sans"/>
          <w:noProof/>
          <w:color w:val="000000"/>
          <w:sz w:val="20"/>
          <w:szCs w:val="22"/>
        </w:rPr>
        <w:drawing>
          <wp:inline distT="0" distB="0" distL="0" distR="0" wp14:anchorId="6948ED94" wp14:editId="60F54F2F">
            <wp:extent cx="6184900" cy="2933065"/>
            <wp:effectExtent l="0" t="0" r="0" b="635"/>
            <wp:docPr id="1203408731" name="Picture 1" descr="A picture containing text, screenshot, circle,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3408731" name="Picture 1" descr="A picture containing text, screenshot, circle, font&#10;&#10;Description automatically generated"/>
                    <pic:cNvPicPr/>
                  </pic:nvPicPr>
                  <pic:blipFill>
                    <a:blip r:embed="rId11"/>
                    <a:stretch>
                      <a:fillRect/>
                    </a:stretch>
                  </pic:blipFill>
                  <pic:spPr>
                    <a:xfrm>
                      <a:off x="0" y="0"/>
                      <a:ext cx="6184900" cy="2933065"/>
                    </a:xfrm>
                    <a:prstGeom prst="rect">
                      <a:avLst/>
                    </a:prstGeom>
                  </pic:spPr>
                </pic:pic>
              </a:graphicData>
            </a:graphic>
          </wp:inline>
        </w:drawing>
      </w:r>
    </w:p>
    <w:p w:rsidRPr="00D93433" w:rsidR="00662750" w:rsidP="00662750" w:rsidRDefault="00662750" w14:paraId="45649D58" w14:textId="77777777">
      <w:pPr>
        <w:pBdr>
          <w:top w:val="none" w:color="000000" w:sz="0" w:space="0"/>
          <w:left w:val="none" w:color="000000" w:sz="0" w:space="0"/>
          <w:bottom w:val="none" w:color="000000" w:sz="0" w:space="0"/>
          <w:right w:val="none" w:color="000000" w:sz="0" w:space="0"/>
          <w:between w:val="nil"/>
        </w:pBdr>
        <w:spacing w:line="276" w:lineRule="auto"/>
        <w:jc w:val="both"/>
        <w:rPr>
          <w:rFonts w:ascii="Open Sans" w:hAnsi="Open Sans" w:eastAsia="Arial" w:cs="Open Sans"/>
          <w:color w:val="000000"/>
          <w:sz w:val="20"/>
          <w:szCs w:val="20"/>
        </w:rPr>
      </w:pPr>
    </w:p>
    <w:p w:rsidRPr="00D93433" w:rsidR="00662750" w:rsidP="00662750" w:rsidRDefault="00662750" w14:paraId="6C1C2A43" w14:textId="1CEDBB74">
      <w:pPr>
        <w:pStyle w:val="Heading1"/>
        <w:keepLines/>
        <w:spacing w:after="120"/>
        <w:rPr>
          <w:rFonts w:ascii="Montserrat" w:hAnsi="Montserrat"/>
          <w:b/>
          <w:i w:val="0"/>
          <w:color w:val="C00000"/>
          <w:u w:val="none"/>
        </w:rPr>
      </w:pPr>
      <w:r w:rsidRPr="00D93433">
        <w:rPr>
          <w:rFonts w:ascii="Montserrat" w:hAnsi="Montserrat"/>
          <w:b/>
          <w:i w:val="0"/>
          <w:color w:val="C00000"/>
          <w:szCs w:val="18"/>
          <w:u w:val="none"/>
        </w:rPr>
        <w:t>Pourquoi devons-nous mobiliser les communautés ?</w:t>
      </w:r>
    </w:p>
    <w:p w:rsidRPr="00D93433" w:rsidR="00662750" w:rsidP="004A124F" w:rsidRDefault="00662750" w14:paraId="0F8E2FEC" w14:textId="77777777">
      <w:pPr>
        <w:pStyle w:val="ListParagraph"/>
        <w:numPr>
          <w:ilvl w:val="0"/>
          <w:numId w:val="44"/>
        </w:numPr>
        <w:spacing w:after="0"/>
        <w:ind w:left="357" w:hanging="357"/>
        <w:contextualSpacing w:val="0"/>
        <w:rPr>
          <w:rFonts w:ascii="Open Sans" w:hAnsi="Open Sans" w:cs="Open Sans"/>
          <w:b/>
          <w:bCs/>
          <w:sz w:val="18"/>
          <w:szCs w:val="18"/>
        </w:rPr>
      </w:pPr>
      <w:r w:rsidRPr="00D93433">
        <w:rPr>
          <w:rFonts w:ascii="Open Sans" w:hAnsi="Open Sans"/>
          <w:b/>
          <w:sz w:val="18"/>
          <w:szCs w:val="18"/>
        </w:rPr>
        <w:t>Pour saisir le contexte et les besoins de la communauté</w:t>
      </w:r>
    </w:p>
    <w:p w:rsidRPr="00D93433" w:rsidR="00662750" w:rsidP="00662750" w:rsidRDefault="00662750" w14:paraId="5CD133A5" w14:textId="1C72BAFB">
      <w:pPr>
        <w:rPr>
          <w:rFonts w:ascii="Open Sans" w:hAnsi="Open Sans" w:cs="Open Sans"/>
          <w:sz w:val="18"/>
          <w:szCs w:val="18"/>
        </w:rPr>
      </w:pPr>
      <w:r w:rsidRPr="00D93433">
        <w:rPr>
          <w:rFonts w:ascii="Open Sans" w:hAnsi="Open Sans"/>
          <w:sz w:val="18"/>
          <w:szCs w:val="20"/>
        </w:rPr>
        <w:t>Nous devons nous engager auprès de tous les groupes au sein de la communauté pour comprendre leurs besoins spécifiques, leurs préférences et leur situation. Si nous partons du principe que nous savons ce dont les gens ont besoin ou comment les choses fonctionnent dans leur communauté, nous risquons de nous tromper et de leur apporter un soutien qui ne les aidera pas, ou pire encore, qui leur nuira.</w:t>
      </w:r>
    </w:p>
    <w:p w:rsidRPr="00D93433" w:rsidR="00662750" w:rsidP="00662750" w:rsidRDefault="00662750" w14:paraId="60B722A5" w14:textId="77777777">
      <w:pPr>
        <w:rPr>
          <w:rFonts w:ascii="Open Sans" w:hAnsi="Open Sans" w:cs="Open Sans"/>
          <w:sz w:val="18"/>
          <w:szCs w:val="18"/>
        </w:rPr>
      </w:pPr>
    </w:p>
    <w:p w:rsidRPr="00D93433" w:rsidR="00662750" w:rsidP="004A124F" w:rsidRDefault="00662750" w14:paraId="6CB90EBF" w14:textId="77777777">
      <w:pPr>
        <w:pStyle w:val="ListParagraph"/>
        <w:numPr>
          <w:ilvl w:val="0"/>
          <w:numId w:val="44"/>
        </w:numPr>
        <w:spacing w:after="0"/>
        <w:ind w:left="357" w:hanging="357"/>
        <w:contextualSpacing w:val="0"/>
        <w:rPr>
          <w:rFonts w:ascii="Open Sans" w:hAnsi="Open Sans" w:cs="Open Sans"/>
          <w:b/>
          <w:bCs/>
          <w:sz w:val="18"/>
          <w:szCs w:val="18"/>
        </w:rPr>
      </w:pPr>
      <w:r w:rsidRPr="00D93433">
        <w:rPr>
          <w:rFonts w:ascii="Open Sans" w:hAnsi="Open Sans"/>
          <w:b/>
          <w:sz w:val="18"/>
          <w:szCs w:val="18"/>
        </w:rPr>
        <w:t>Pour des programmes et des opérations de meilleure qualité et plus efficaces</w:t>
      </w:r>
    </w:p>
    <w:p w:rsidRPr="00D93433" w:rsidR="00662750" w:rsidP="00662750" w:rsidRDefault="00662750" w14:paraId="1277AA6E" w14:textId="4FBCBA19">
      <w:pPr>
        <w:rPr>
          <w:rFonts w:ascii="Open Sans" w:hAnsi="Open Sans" w:cs="Open Sans"/>
          <w:sz w:val="18"/>
          <w:szCs w:val="18"/>
        </w:rPr>
      </w:pPr>
      <w:r w:rsidRPr="00D93433">
        <w:rPr>
          <w:rFonts w:ascii="Open Sans" w:hAnsi="Open Sans"/>
          <w:sz w:val="18"/>
          <w:szCs w:val="20"/>
        </w:rPr>
        <w:t>Personne ne connaît mieux la communauté que les personnes qui y vivent. Lorsque nous nous appuyons sur ces connaissances locales, nous avons beaucoup plus de chances de bien faire les choses et de fournir une aide utile, opportune, pertinente et de grande qualité. Prêter attention aux retours de la communauté nous alerte rapidement lorsque les choses ne fonctionnent pas et nous donne des indications précieuses sur la manière dont nous pouvons progresser.</w:t>
      </w:r>
    </w:p>
    <w:p w:rsidRPr="00D93433" w:rsidR="00662750" w:rsidP="00662750" w:rsidRDefault="00662750" w14:paraId="13D1E6CD" w14:textId="77777777">
      <w:pPr>
        <w:rPr>
          <w:rFonts w:ascii="Open Sans" w:hAnsi="Open Sans" w:cs="Open Sans"/>
          <w:sz w:val="18"/>
          <w:szCs w:val="18"/>
        </w:rPr>
      </w:pPr>
    </w:p>
    <w:p w:rsidRPr="00D93433" w:rsidR="00662750" w:rsidP="00662750" w:rsidRDefault="00662750" w14:paraId="768FF9B8" w14:textId="77777777">
      <w:pPr>
        <w:pStyle w:val="ListParagraph"/>
        <w:numPr>
          <w:ilvl w:val="0"/>
          <w:numId w:val="44"/>
        </w:numPr>
        <w:spacing w:after="60"/>
        <w:ind w:left="357" w:hanging="357"/>
        <w:contextualSpacing w:val="0"/>
        <w:rPr>
          <w:rFonts w:ascii="Open Sans" w:hAnsi="Open Sans" w:cs="Open Sans"/>
          <w:b/>
          <w:bCs/>
          <w:sz w:val="18"/>
          <w:szCs w:val="18"/>
        </w:rPr>
      </w:pPr>
      <w:r w:rsidRPr="00D93433">
        <w:rPr>
          <w:rFonts w:ascii="Open Sans" w:hAnsi="Open Sans"/>
          <w:b/>
          <w:sz w:val="18"/>
          <w:szCs w:val="18"/>
        </w:rPr>
        <w:t>Instaurer la confiance, l'accès et l'acceptation avec les communautés</w:t>
      </w:r>
    </w:p>
    <w:p w:rsidRPr="00D93433" w:rsidR="00662750" w:rsidP="00662750" w:rsidRDefault="00662750" w14:paraId="0C6C1157" w14:textId="62201D23">
      <w:pPr>
        <w:rPr>
          <w:rFonts w:ascii="Open Sans" w:hAnsi="Open Sans" w:cs="Open Sans"/>
          <w:sz w:val="18"/>
          <w:szCs w:val="18"/>
        </w:rPr>
      </w:pPr>
      <w:r w:rsidRPr="52DF5732" w:rsidR="00662750">
        <w:rPr>
          <w:rFonts w:ascii="Open Sans" w:hAnsi="Open Sans"/>
          <w:sz w:val="18"/>
          <w:szCs w:val="18"/>
        </w:rPr>
        <w:t xml:space="preserve">Une communication ouverte et honnête, l'écoute et la prise en compte de ce que les gens nous disent sont autant de marques de respect qui renforcent la confiance. Sans la confiance, les gens peuvent être susceptibles de ne pas s’adresser à nous, de ne pas utiliser nos services, de ne pas croire les informations que nous partageons ou de ne pas accueillir nos </w:t>
      </w:r>
      <w:r w:rsidRPr="52DF5732" w:rsidR="6FB9DB31">
        <w:rPr>
          <w:rFonts w:ascii="Open Sans" w:hAnsi="Open Sans"/>
          <w:sz w:val="18"/>
          <w:szCs w:val="18"/>
        </w:rPr>
        <w:t>volontaires</w:t>
      </w:r>
      <w:r w:rsidRPr="52DF5732" w:rsidR="00662750">
        <w:rPr>
          <w:rFonts w:ascii="Open Sans" w:hAnsi="Open Sans"/>
          <w:sz w:val="18"/>
          <w:szCs w:val="18"/>
        </w:rPr>
        <w:t xml:space="preserve"> et notre personnel en toute sécurité dans leur communauté. </w:t>
      </w:r>
    </w:p>
    <w:p w:rsidRPr="00D93433" w:rsidR="00662750" w:rsidP="00662750" w:rsidRDefault="00662750" w14:paraId="28E1F612" w14:textId="77777777">
      <w:pPr>
        <w:rPr>
          <w:rFonts w:ascii="Open Sans" w:hAnsi="Open Sans" w:cs="Open Sans"/>
          <w:sz w:val="18"/>
          <w:szCs w:val="18"/>
        </w:rPr>
      </w:pPr>
    </w:p>
    <w:p w:rsidRPr="00D93433" w:rsidR="00662750" w:rsidP="00662750" w:rsidRDefault="00662750" w14:paraId="7FA9E49B" w14:textId="77777777">
      <w:pPr>
        <w:pStyle w:val="ListParagraph"/>
        <w:numPr>
          <w:ilvl w:val="0"/>
          <w:numId w:val="44"/>
        </w:numPr>
        <w:spacing w:after="60"/>
        <w:ind w:left="357" w:hanging="357"/>
        <w:contextualSpacing w:val="0"/>
        <w:rPr>
          <w:rFonts w:ascii="Open Sans" w:hAnsi="Open Sans" w:cs="Open Sans"/>
          <w:b/>
          <w:bCs/>
          <w:sz w:val="18"/>
          <w:szCs w:val="18"/>
        </w:rPr>
      </w:pPr>
      <w:r w:rsidRPr="00D93433">
        <w:rPr>
          <w:rFonts w:ascii="Open Sans" w:hAnsi="Open Sans"/>
          <w:b/>
          <w:sz w:val="18"/>
          <w:szCs w:val="18"/>
        </w:rPr>
        <w:t>Renforcer l'appropriation et la résilience des communautés</w:t>
      </w:r>
    </w:p>
    <w:p w:rsidRPr="00D93433" w:rsidR="00662750" w:rsidP="00662750" w:rsidRDefault="00662750" w14:paraId="33B406DF" w14:textId="234A75D0">
      <w:pPr>
        <w:rPr>
          <w:rFonts w:ascii="Open Sans" w:hAnsi="Open Sans" w:cs="Open Sans"/>
          <w:sz w:val="18"/>
          <w:szCs w:val="18"/>
        </w:rPr>
      </w:pPr>
      <w:r w:rsidRPr="00D93433">
        <w:rPr>
          <w:rFonts w:ascii="Open Sans" w:hAnsi="Open Sans"/>
          <w:sz w:val="18"/>
          <w:szCs w:val="20"/>
        </w:rPr>
        <w:t xml:space="preserve">Les personnes touchées par une crise ne sont pas impuissantes. Elles sont généralement les premières à intervenir dans le cadre d’une crise et possèdent des connaissances, des compétences et des capacités qui peuvent garantir une aide pertinente et durable. Lorsque nous concevons et gérons des programmes et des opérations en partenariat avec les communautés, l'appropriation locale et l'autonomie sont facilitées. </w:t>
      </w:r>
    </w:p>
    <w:p w:rsidRPr="00D93433" w:rsidR="00662750" w:rsidP="00662750" w:rsidRDefault="00662750" w14:paraId="1C785688" w14:textId="77777777">
      <w:pPr>
        <w:rPr>
          <w:rFonts w:ascii="Open Sans" w:hAnsi="Open Sans" w:cs="Open Sans"/>
          <w:sz w:val="18"/>
          <w:szCs w:val="18"/>
        </w:rPr>
      </w:pPr>
    </w:p>
    <w:p w:rsidRPr="00D93433" w:rsidR="00662750" w:rsidP="00662750" w:rsidRDefault="00662750" w14:paraId="4F9C57C0" w14:textId="77777777">
      <w:pPr>
        <w:pStyle w:val="ListParagraph"/>
        <w:numPr>
          <w:ilvl w:val="0"/>
          <w:numId w:val="44"/>
        </w:numPr>
        <w:spacing w:after="60"/>
        <w:ind w:left="357" w:hanging="357"/>
        <w:contextualSpacing w:val="0"/>
        <w:rPr>
          <w:rFonts w:ascii="Open Sans" w:hAnsi="Open Sans" w:cs="Open Sans"/>
          <w:b/>
          <w:bCs/>
          <w:sz w:val="18"/>
          <w:szCs w:val="18"/>
        </w:rPr>
      </w:pPr>
      <w:r w:rsidRPr="00D93433">
        <w:rPr>
          <w:rFonts w:ascii="Open Sans" w:hAnsi="Open Sans"/>
          <w:b/>
          <w:sz w:val="18"/>
          <w:szCs w:val="18"/>
        </w:rPr>
        <w:t>Respecter nos propres engagements</w:t>
      </w:r>
    </w:p>
    <w:p w:rsidRPr="00D93433" w:rsidR="00662750" w:rsidP="00365A72" w:rsidRDefault="00662750" w14:paraId="53292278" w14:textId="41106396">
      <w:pPr>
        <w:pStyle w:val="ListParagraph"/>
        <w:ind w:left="0"/>
        <w:rPr>
          <w:rFonts w:ascii="Open Sans" w:hAnsi="Open Sans" w:cs="Open Sans"/>
          <w:sz w:val="18"/>
          <w:szCs w:val="18"/>
        </w:rPr>
      </w:pPr>
      <w:r w:rsidRPr="00D93433">
        <w:rPr>
          <w:rFonts w:ascii="Open Sans" w:hAnsi="Open Sans"/>
          <w:sz w:val="18"/>
          <w:szCs w:val="18"/>
        </w:rPr>
        <w:t>Le travail en partenariat avec les communautés est au cœur de notre identité</w:t>
      </w:r>
      <w:r w:rsidRPr="00D93433" w:rsidR="00365A72">
        <w:rPr>
          <w:rStyle w:val="FootnoteReference"/>
          <w:rFonts w:ascii="Open Sans" w:hAnsi="Open Sans" w:cs="Open Sans"/>
          <w:sz w:val="18"/>
          <w:szCs w:val="18"/>
        </w:rPr>
        <w:footnoteReference w:id="1"/>
      </w:r>
      <w:r w:rsidRPr="00D93433">
        <w:rPr>
          <w:rFonts w:ascii="Open Sans" w:hAnsi="Open Sans"/>
          <w:sz w:val="18"/>
          <w:szCs w:val="18"/>
        </w:rPr>
        <w:t xml:space="preserve">. </w:t>
      </w:r>
      <w:r w:rsidRPr="00D93433">
        <w:rPr>
          <w:sz w:val="18"/>
          <w:szCs w:val="18"/>
        </w:rPr>
        <w:t>En décembre 2019, la première série de</w:t>
      </w:r>
      <w:r w:rsidRPr="00D93433">
        <w:rPr>
          <w:rFonts w:ascii="Open Sans" w:hAnsi="Open Sans"/>
          <w:sz w:val="18"/>
          <w:szCs w:val="18"/>
        </w:rPr>
        <w:t xml:space="preserve"> </w:t>
      </w:r>
      <w:hyperlink w:history="1" r:id="rId12">
        <w:r w:rsidRPr="00D93433">
          <w:rPr>
            <w:rStyle w:val="Hyperlink"/>
            <w:rFonts w:ascii="Open Sans" w:hAnsi="Open Sans"/>
            <w:sz w:val="18"/>
            <w:szCs w:val="18"/>
          </w:rPr>
          <w:t>« Engagements du Mouvement en faveur de l’engagement communautaire et la redevabilité »</w:t>
        </w:r>
      </w:hyperlink>
      <w:r w:rsidRPr="00D93433">
        <w:rPr>
          <w:rFonts w:ascii="Open Sans" w:hAnsi="Open Sans"/>
          <w:sz w:val="18"/>
          <w:szCs w:val="18"/>
        </w:rPr>
        <w:t xml:space="preserve"> a été approuvée par le Conseil des délégués.</w:t>
      </w:r>
    </w:p>
    <w:p w:rsidRPr="00D93433" w:rsidR="00365A72" w:rsidP="00365A72" w:rsidRDefault="00365A72" w14:paraId="40DD533E" w14:textId="77777777">
      <w:pPr>
        <w:pStyle w:val="ListParagraph"/>
        <w:ind w:left="0"/>
        <w:rPr>
          <w:rFonts w:ascii="Open Sans" w:hAnsi="Open Sans" w:cs="Open Sans"/>
          <w:sz w:val="20"/>
          <w:szCs w:val="20"/>
        </w:rPr>
      </w:pPr>
    </w:p>
    <w:p w:rsidRPr="00D93433" w:rsidR="004A124F" w:rsidP="004A124F" w:rsidRDefault="004A124F" w14:paraId="30C91558" w14:textId="4FD2FC41">
      <w:pPr>
        <w:pStyle w:val="Heading1"/>
        <w:keepLines/>
        <w:spacing w:after="120"/>
        <w:rPr>
          <w:rFonts w:ascii="Montserrat" w:hAnsi="Montserrat"/>
          <w:b/>
          <w:i w:val="0"/>
          <w:color w:val="C00000"/>
          <w:sz w:val="24"/>
          <w:szCs w:val="24"/>
          <w:u w:val="none"/>
        </w:rPr>
      </w:pPr>
      <w:r w:rsidRPr="00D93433">
        <w:rPr>
          <w:rFonts w:ascii="Montserrat" w:hAnsi="Montserrat"/>
          <w:b/>
          <w:i w:val="0"/>
          <w:color w:val="C00000"/>
          <w:sz w:val="24"/>
          <w:szCs w:val="20"/>
          <w:u w:val="none"/>
        </w:rPr>
        <w:t>Les engagements de l'ensemble du mouvement en faveur de l'engagement communautaire et de la redevabilité</w:t>
      </w:r>
    </w:p>
    <w:p w:rsidRPr="00D93433" w:rsidR="004A124F" w:rsidP="004A124F" w:rsidRDefault="004A124F" w14:paraId="2D449262" w14:textId="404BB801">
      <w:pPr>
        <w:rPr>
          <w:rFonts w:ascii="Open Sans" w:hAnsi="Open Sans" w:cs="Open Sans"/>
          <w:sz w:val="20"/>
          <w:szCs w:val="20"/>
        </w:rPr>
      </w:pPr>
      <w:r w:rsidRPr="00D93433">
        <w:rPr>
          <w:rFonts w:ascii="Open Sans" w:hAnsi="Open Sans"/>
          <w:sz w:val="20"/>
          <w:szCs w:val="22"/>
        </w:rPr>
        <w:t>Tous les membres du Mouvement, y compris chaque Société nationale, délégation du CICR et bureau de la FICR, sont tenus de respecter et de faire respecter ces engagements et ils sont pertinents et applicables à tous les employés et volontaires de l'ensemble du Mouvement, quel que soit leur fonction.</w:t>
      </w:r>
    </w:p>
    <w:p w:rsidRPr="00D93433" w:rsidR="004A124F" w:rsidP="004A124F" w:rsidRDefault="004A124F" w14:paraId="3AB08308" w14:textId="77777777">
      <w:pPr>
        <w:rPr>
          <w:rFonts w:ascii="Open Sans" w:hAnsi="Open Sans" w:cs="Open Sans"/>
          <w:sz w:val="20"/>
          <w:szCs w:val="20"/>
        </w:rPr>
      </w:pPr>
    </w:p>
    <w:p w:rsidRPr="00D93433" w:rsidR="004A124F" w:rsidP="00365A72" w:rsidRDefault="004A124F" w14:paraId="209FA40C" w14:textId="77777777">
      <w:pPr>
        <w:spacing w:line="276" w:lineRule="auto"/>
        <w:rPr>
          <w:rFonts w:ascii="Open Sans" w:hAnsi="Open Sans" w:cs="Open Sans"/>
          <w:sz w:val="20"/>
          <w:szCs w:val="20"/>
        </w:rPr>
      </w:pPr>
      <w:r w:rsidRPr="00D93433">
        <w:rPr>
          <w:rFonts w:ascii="Open Sans" w:hAnsi="Open Sans"/>
          <w:b/>
          <w:sz w:val="20"/>
          <w:szCs w:val="22"/>
        </w:rPr>
        <w:t>Engagement 1 :</w:t>
      </w:r>
      <w:r w:rsidRPr="00D93433">
        <w:rPr>
          <w:rFonts w:ascii="Open Sans" w:hAnsi="Open Sans"/>
          <w:sz w:val="20"/>
          <w:szCs w:val="22"/>
        </w:rPr>
        <w:t xml:space="preserve"> toutes les composantes du Mouvement </w:t>
      </w:r>
      <w:r w:rsidRPr="00D93433">
        <w:rPr>
          <w:rFonts w:ascii="Open Sans" w:hAnsi="Open Sans"/>
          <w:b/>
          <w:bCs/>
          <w:sz w:val="20"/>
          <w:szCs w:val="22"/>
        </w:rPr>
        <w:t xml:space="preserve">s'engagent à intégrer le CEA </w:t>
      </w:r>
      <w:r w:rsidRPr="00D93433">
        <w:rPr>
          <w:rFonts w:ascii="Open Sans" w:hAnsi="Open Sans"/>
          <w:sz w:val="20"/>
          <w:szCs w:val="22"/>
        </w:rPr>
        <w:t>dans leurs stratégies, leurs politiques et leurs procédures.</w:t>
      </w:r>
    </w:p>
    <w:p w:rsidRPr="00D93433" w:rsidR="004A124F" w:rsidP="00365A72" w:rsidRDefault="004A124F" w14:paraId="2765278B" w14:textId="77777777">
      <w:pPr>
        <w:spacing w:line="276" w:lineRule="auto"/>
        <w:rPr>
          <w:rFonts w:ascii="Open Sans" w:hAnsi="Open Sans" w:cs="Open Sans"/>
          <w:sz w:val="20"/>
          <w:szCs w:val="20"/>
        </w:rPr>
      </w:pPr>
    </w:p>
    <w:p w:rsidRPr="00D93433" w:rsidR="004A124F" w:rsidP="00365A72" w:rsidRDefault="004A124F" w14:paraId="6EAAC866" w14:textId="583EE896">
      <w:pPr>
        <w:spacing w:line="276" w:lineRule="auto"/>
        <w:rPr>
          <w:rFonts w:ascii="Open Sans" w:hAnsi="Open Sans" w:cs="Open Sans"/>
          <w:sz w:val="20"/>
          <w:szCs w:val="20"/>
        </w:rPr>
      </w:pPr>
      <w:r w:rsidRPr="496DB30A" w:rsidR="004A124F">
        <w:rPr>
          <w:rFonts w:ascii="Open Sans" w:hAnsi="Open Sans"/>
          <w:b w:val="1"/>
          <w:bCs w:val="1"/>
          <w:sz w:val="20"/>
          <w:szCs w:val="20"/>
        </w:rPr>
        <w:t>Engagement 2 :</w:t>
      </w:r>
      <w:r w:rsidRPr="496DB30A" w:rsidR="004A124F">
        <w:rPr>
          <w:rFonts w:ascii="Open Sans" w:hAnsi="Open Sans"/>
          <w:sz w:val="20"/>
          <w:szCs w:val="20"/>
        </w:rPr>
        <w:t xml:space="preserve"> Toutes les composantes du Mouvement s</w:t>
      </w:r>
      <w:r w:rsidRPr="496DB30A" w:rsidR="004A124F">
        <w:rPr>
          <w:rFonts w:ascii="Open Sans" w:hAnsi="Open Sans"/>
          <w:b w:val="1"/>
          <w:bCs w:val="1"/>
          <w:sz w:val="20"/>
          <w:szCs w:val="20"/>
        </w:rPr>
        <w:t xml:space="preserve">'engagent à analyser </w:t>
      </w:r>
      <w:r w:rsidRPr="496DB30A" w:rsidR="7C5380F4">
        <w:rPr>
          <w:rFonts w:ascii="Open Sans" w:hAnsi="Open Sans"/>
          <w:b w:val="1"/>
          <w:bCs w:val="1"/>
          <w:sz w:val="20"/>
          <w:szCs w:val="20"/>
        </w:rPr>
        <w:t>régulièrement chacun</w:t>
      </w:r>
      <w:r w:rsidRPr="496DB30A" w:rsidR="004A124F">
        <w:rPr>
          <w:rFonts w:ascii="Open Sans" w:hAnsi="Open Sans"/>
          <w:b w:val="1"/>
          <w:bCs w:val="1"/>
          <w:sz w:val="20"/>
          <w:szCs w:val="20"/>
        </w:rPr>
        <w:t xml:space="preserve"> des contextes</w:t>
      </w:r>
      <w:r w:rsidRPr="496DB30A" w:rsidR="004A124F">
        <w:rPr>
          <w:rFonts w:ascii="Open Sans" w:hAnsi="Open Sans"/>
          <w:sz w:val="20"/>
          <w:szCs w:val="20"/>
        </w:rPr>
        <w:t xml:space="preserve"> dans lesquels elles travaillent pour mieux comprendre et mieux prendre en compte la diversité des besoins, des vulnérabilités et des capacités des personnes et des communautés auxquelles elles entendent venir en aide et pour leur fournir une assistance appropriée.</w:t>
      </w:r>
    </w:p>
    <w:p w:rsidRPr="00D93433" w:rsidR="004A124F" w:rsidP="00365A72" w:rsidRDefault="004A124F" w14:paraId="28D6E725" w14:textId="77777777">
      <w:pPr>
        <w:spacing w:line="276" w:lineRule="auto"/>
        <w:rPr>
          <w:rFonts w:ascii="Open Sans" w:hAnsi="Open Sans" w:cs="Open Sans"/>
          <w:sz w:val="20"/>
          <w:szCs w:val="20"/>
        </w:rPr>
      </w:pPr>
    </w:p>
    <w:p w:rsidRPr="00D93433" w:rsidR="004A124F" w:rsidP="00365A72" w:rsidRDefault="004A124F" w14:paraId="576E341B" w14:textId="77777777">
      <w:pPr>
        <w:spacing w:line="276" w:lineRule="auto"/>
        <w:rPr>
          <w:rFonts w:ascii="Open Sans" w:hAnsi="Open Sans" w:cs="Open Sans"/>
          <w:sz w:val="20"/>
          <w:szCs w:val="20"/>
        </w:rPr>
      </w:pPr>
      <w:r w:rsidRPr="00D93433">
        <w:rPr>
          <w:rFonts w:ascii="Open Sans" w:hAnsi="Open Sans"/>
          <w:b/>
          <w:sz w:val="20"/>
          <w:szCs w:val="22"/>
        </w:rPr>
        <w:t>Engagement 3 :</w:t>
      </w:r>
      <w:r w:rsidRPr="00D93433">
        <w:rPr>
          <w:rFonts w:ascii="Open Sans" w:hAnsi="Open Sans"/>
          <w:sz w:val="20"/>
          <w:szCs w:val="22"/>
        </w:rPr>
        <w:t xml:space="preserve"> Toutes les composantes du Mouvement</w:t>
      </w:r>
      <w:r w:rsidRPr="00D93433">
        <w:rPr>
          <w:rFonts w:ascii="Open Sans" w:hAnsi="Open Sans"/>
          <w:b/>
          <w:bCs/>
          <w:sz w:val="20"/>
          <w:szCs w:val="22"/>
        </w:rPr>
        <w:t xml:space="preserve"> s'engagent à renforcer la participation</w:t>
      </w:r>
      <w:r w:rsidRPr="00D93433">
        <w:rPr>
          <w:rFonts w:ascii="Open Sans" w:hAnsi="Open Sans"/>
          <w:sz w:val="20"/>
          <w:szCs w:val="22"/>
        </w:rPr>
        <w:t xml:space="preserve"> des personnes et des communautés locales, y compris des volontaires des Sociétés nationales, et à les encourager à mettre à profit leurs connaissances, leurs compétences et leurs capacités pour élaborer des solutions appropriées et efficaces en réponse aux problèmes qu’elles rencontrent.</w:t>
      </w:r>
    </w:p>
    <w:p w:rsidRPr="00D93433" w:rsidR="004A124F" w:rsidP="00365A72" w:rsidRDefault="004A124F" w14:paraId="39D1DC75" w14:textId="77777777">
      <w:pPr>
        <w:spacing w:line="276" w:lineRule="auto"/>
        <w:rPr>
          <w:rFonts w:ascii="Open Sans" w:hAnsi="Open Sans" w:cs="Open Sans"/>
          <w:sz w:val="20"/>
          <w:szCs w:val="20"/>
        </w:rPr>
      </w:pPr>
    </w:p>
    <w:p w:rsidRPr="00D93433" w:rsidR="004A124F" w:rsidP="00365A72" w:rsidRDefault="004A124F" w14:paraId="43033684" w14:textId="77777777">
      <w:pPr>
        <w:spacing w:line="276" w:lineRule="auto"/>
        <w:rPr>
          <w:rFonts w:ascii="Open Sans" w:hAnsi="Open Sans" w:cs="Open Sans"/>
          <w:sz w:val="20"/>
          <w:szCs w:val="20"/>
        </w:rPr>
      </w:pPr>
      <w:r w:rsidRPr="00D93433">
        <w:rPr>
          <w:rFonts w:ascii="Open Sans" w:hAnsi="Open Sans"/>
          <w:b/>
          <w:sz w:val="20"/>
          <w:szCs w:val="22"/>
        </w:rPr>
        <w:t>Engagement 4 :</w:t>
      </w:r>
      <w:r w:rsidRPr="00D93433">
        <w:rPr>
          <w:rFonts w:ascii="Open Sans" w:hAnsi="Open Sans"/>
          <w:sz w:val="20"/>
          <w:szCs w:val="22"/>
        </w:rPr>
        <w:t xml:space="preserve"> Toutes les composantes du Mouvement</w:t>
      </w:r>
      <w:r w:rsidRPr="00D93433">
        <w:rPr>
          <w:rFonts w:ascii="Open Sans" w:hAnsi="Open Sans"/>
          <w:b/>
          <w:bCs/>
          <w:sz w:val="20"/>
          <w:szCs w:val="22"/>
        </w:rPr>
        <w:t xml:space="preserve"> s'engagent à recueillir les retours des personnes et des communautés qu’elles aident, à en tenir compte et à y donner suite</w:t>
      </w:r>
      <w:r w:rsidRPr="00D93433">
        <w:rPr>
          <w:rFonts w:ascii="Open Sans" w:hAnsi="Open Sans"/>
          <w:sz w:val="20"/>
          <w:szCs w:val="22"/>
        </w:rPr>
        <w:t xml:space="preserve">, et ce, </w:t>
      </w:r>
      <w:r w:rsidRPr="00D93433">
        <w:rPr>
          <w:rFonts w:ascii="Open Sans" w:hAnsi="Open Sans"/>
          <w:b/>
          <w:bCs/>
          <w:sz w:val="20"/>
          <w:szCs w:val="22"/>
        </w:rPr>
        <w:t>de manière systématique.</w:t>
      </w:r>
    </w:p>
    <w:p w:rsidRPr="00D93433" w:rsidR="004A124F" w:rsidP="00365A72" w:rsidRDefault="004A124F" w14:paraId="6D4F40C4" w14:textId="77777777">
      <w:pPr>
        <w:spacing w:line="276" w:lineRule="auto"/>
        <w:rPr>
          <w:rFonts w:ascii="Open Sans" w:hAnsi="Open Sans" w:cs="Open Sans"/>
          <w:sz w:val="20"/>
          <w:szCs w:val="20"/>
        </w:rPr>
      </w:pPr>
    </w:p>
    <w:p w:rsidR="004A124F" w:rsidP="00365A72" w:rsidRDefault="004A124F" w14:paraId="542EE2EA" w14:textId="66134E4A">
      <w:pPr>
        <w:spacing w:line="276" w:lineRule="auto"/>
        <w:rPr>
          <w:rFonts w:ascii="Open Sans" w:hAnsi="Open Sans"/>
          <w:sz w:val="20"/>
          <w:szCs w:val="20"/>
        </w:rPr>
      </w:pPr>
      <w:r w:rsidRPr="3948772E" w:rsidR="004A124F">
        <w:rPr>
          <w:rFonts w:ascii="Open Sans" w:hAnsi="Open Sans"/>
          <w:b w:val="1"/>
          <w:bCs w:val="1"/>
          <w:sz w:val="20"/>
          <w:szCs w:val="20"/>
        </w:rPr>
        <w:t>Engagement 5 :</w:t>
      </w:r>
      <w:r w:rsidRPr="3948772E" w:rsidR="004A124F">
        <w:rPr>
          <w:rFonts w:ascii="Open Sans" w:hAnsi="Open Sans"/>
          <w:sz w:val="20"/>
          <w:szCs w:val="20"/>
        </w:rPr>
        <w:t xml:space="preserve"> Toutes les composantes du Mouvement </w:t>
      </w:r>
      <w:r w:rsidRPr="3948772E" w:rsidR="004A124F">
        <w:rPr>
          <w:rFonts w:ascii="Open Sans" w:hAnsi="Open Sans"/>
          <w:b w:val="1"/>
          <w:bCs w:val="1"/>
          <w:sz w:val="20"/>
          <w:szCs w:val="20"/>
        </w:rPr>
        <w:t>s'engagent à communiquer et interagir de manière plus transparente</w:t>
      </w:r>
      <w:r w:rsidRPr="3948772E" w:rsidR="004A124F">
        <w:rPr>
          <w:rFonts w:ascii="Open Sans" w:hAnsi="Open Sans"/>
          <w:sz w:val="20"/>
          <w:szCs w:val="20"/>
        </w:rPr>
        <w:t xml:space="preserve"> avec les personnes</w:t>
      </w:r>
      <w:r w:rsidRPr="3948772E" w:rsidR="52E56803">
        <w:rPr>
          <w:rFonts w:ascii="Open Sans" w:hAnsi="Open Sans"/>
          <w:sz w:val="20"/>
          <w:szCs w:val="20"/>
        </w:rPr>
        <w:t xml:space="preserve"> </w:t>
      </w:r>
      <w:r w:rsidRPr="3948772E" w:rsidR="004A124F">
        <w:rPr>
          <w:rFonts w:ascii="Open Sans" w:hAnsi="Open Sans"/>
          <w:sz w:val="20"/>
          <w:szCs w:val="20"/>
        </w:rPr>
        <w:t>et</w:t>
      </w:r>
      <w:r w:rsidRPr="3948772E" w:rsidR="004A124F">
        <w:rPr>
          <w:rFonts w:ascii="Open Sans" w:hAnsi="Open Sans"/>
          <w:sz w:val="20"/>
          <w:szCs w:val="20"/>
        </w:rPr>
        <w:t xml:space="preserve"> les communautés qu’elles aident.</w:t>
      </w:r>
    </w:p>
    <w:p w:rsidR="00D93433" w:rsidP="00365A72" w:rsidRDefault="00D93433" w14:paraId="23D4A6ED" w14:textId="77777777">
      <w:pPr>
        <w:spacing w:line="276" w:lineRule="auto"/>
        <w:rPr>
          <w:rFonts w:ascii="Open Sans" w:hAnsi="Open Sans"/>
          <w:sz w:val="20"/>
          <w:szCs w:val="22"/>
        </w:rPr>
      </w:pPr>
    </w:p>
    <w:p w:rsidRPr="00D93433" w:rsidR="00D93433" w:rsidP="00365A72" w:rsidRDefault="00D93433" w14:paraId="173CAAB8" w14:textId="77777777">
      <w:pPr>
        <w:spacing w:line="276" w:lineRule="auto"/>
        <w:rPr>
          <w:rFonts w:ascii="Open Sans" w:hAnsi="Open Sans" w:cs="Open Sans"/>
          <w:sz w:val="20"/>
          <w:szCs w:val="20"/>
        </w:rPr>
      </w:pPr>
    </w:p>
    <w:p w:rsidRPr="00D93433" w:rsidR="004A124F" w:rsidP="00365A72" w:rsidRDefault="004A124F" w14:paraId="25C40513" w14:textId="77777777">
      <w:pPr>
        <w:spacing w:line="276" w:lineRule="auto"/>
        <w:rPr>
          <w:rFonts w:ascii="Open Sans" w:hAnsi="Open Sans" w:cs="Open Sans"/>
          <w:sz w:val="20"/>
          <w:szCs w:val="20"/>
        </w:rPr>
      </w:pPr>
    </w:p>
    <w:p w:rsidRPr="00D93433" w:rsidR="004A124F" w:rsidP="00365A72" w:rsidRDefault="004A124F" w14:paraId="6C036A1D" w14:textId="77777777">
      <w:pPr>
        <w:spacing w:line="276" w:lineRule="auto"/>
        <w:rPr>
          <w:rFonts w:ascii="Open Sans" w:hAnsi="Open Sans" w:cs="Open Sans"/>
          <w:sz w:val="20"/>
          <w:szCs w:val="20"/>
        </w:rPr>
      </w:pPr>
      <w:r w:rsidRPr="00D93433">
        <w:rPr>
          <w:rFonts w:ascii="Open Sans" w:hAnsi="Open Sans"/>
          <w:b/>
          <w:sz w:val="20"/>
          <w:szCs w:val="22"/>
        </w:rPr>
        <w:lastRenderedPageBreak/>
        <w:t>Engagement 6 :</w:t>
      </w:r>
      <w:r w:rsidRPr="00D93433">
        <w:rPr>
          <w:rFonts w:ascii="Open Sans" w:hAnsi="Open Sans"/>
          <w:sz w:val="20"/>
          <w:szCs w:val="22"/>
        </w:rPr>
        <w:t xml:space="preserve"> Toutes les composantes du Mouvement </w:t>
      </w:r>
      <w:r w:rsidRPr="00D93433">
        <w:rPr>
          <w:rFonts w:ascii="Open Sans" w:hAnsi="Open Sans"/>
          <w:b/>
          <w:bCs/>
          <w:sz w:val="20"/>
          <w:szCs w:val="22"/>
        </w:rPr>
        <w:t>s'engagent à renforcer les connaissances, les compétences et les capacités en matière de CEA à tous les niveaux</w:t>
      </w:r>
      <w:r w:rsidRPr="00D93433">
        <w:rPr>
          <w:rFonts w:ascii="Open Sans" w:hAnsi="Open Sans"/>
          <w:sz w:val="20"/>
          <w:szCs w:val="22"/>
        </w:rPr>
        <w:t xml:space="preserve"> et à les utiliser systématiquement dans le cadre de leurs activités.</w:t>
      </w:r>
    </w:p>
    <w:p w:rsidRPr="00D93433" w:rsidR="004A124F" w:rsidP="00365A72" w:rsidRDefault="004A124F" w14:paraId="5A0ACDEC" w14:textId="77777777">
      <w:pPr>
        <w:spacing w:line="276" w:lineRule="auto"/>
        <w:rPr>
          <w:rFonts w:ascii="Open Sans" w:hAnsi="Open Sans" w:cs="Open Sans"/>
          <w:sz w:val="20"/>
          <w:szCs w:val="20"/>
        </w:rPr>
      </w:pPr>
    </w:p>
    <w:p w:rsidRPr="00D93433" w:rsidR="004A124F" w:rsidP="00365A72" w:rsidRDefault="004A124F" w14:paraId="1D5714E3" w14:textId="7DA837E6">
      <w:pPr>
        <w:spacing w:line="276" w:lineRule="auto"/>
        <w:rPr>
          <w:rFonts w:ascii="Open Sans" w:hAnsi="Open Sans" w:cs="Open Sans"/>
          <w:sz w:val="20"/>
          <w:szCs w:val="20"/>
        </w:rPr>
      </w:pPr>
      <w:r w:rsidRPr="00D93433">
        <w:rPr>
          <w:rFonts w:ascii="Open Sans" w:hAnsi="Open Sans"/>
          <w:b/>
          <w:sz w:val="20"/>
          <w:szCs w:val="22"/>
        </w:rPr>
        <w:t>Engagement 7 :</w:t>
      </w:r>
      <w:r w:rsidRPr="00D93433">
        <w:rPr>
          <w:rFonts w:ascii="Open Sans" w:hAnsi="Open Sans"/>
          <w:sz w:val="20"/>
          <w:szCs w:val="22"/>
        </w:rPr>
        <w:t xml:space="preserve"> Toutes les composantes du Mouvement </w:t>
      </w:r>
      <w:r w:rsidRPr="00D93433">
        <w:rPr>
          <w:rFonts w:ascii="Open Sans" w:hAnsi="Open Sans"/>
          <w:b/>
          <w:bCs/>
          <w:sz w:val="20"/>
          <w:szCs w:val="22"/>
        </w:rPr>
        <w:t>s'engagent à coordonner leurs approches en matière de CEA lorsqu'elles travaillent dans le même contexte</w:t>
      </w:r>
      <w:r w:rsidRPr="00D93433">
        <w:rPr>
          <w:rFonts w:ascii="Open Sans" w:hAnsi="Open Sans"/>
          <w:sz w:val="20"/>
          <w:szCs w:val="22"/>
        </w:rPr>
        <w:t>, et à faire de même avec des partenaires extérieurs le cas échéant, afin d’éviter les doublons et de renforcer la cohérence, l’efficacité et l’efficience de leur action.</w:t>
      </w:r>
    </w:p>
    <w:p w:rsidRPr="00D93433" w:rsidR="004A124F" w:rsidP="00662750" w:rsidRDefault="004A124F" w14:paraId="2A736C89" w14:textId="77777777">
      <w:pPr>
        <w:pBdr>
          <w:top w:val="none" w:color="000000" w:sz="0" w:space="0"/>
          <w:left w:val="none" w:color="000000" w:sz="0" w:space="0"/>
          <w:bottom w:val="none" w:color="000000" w:sz="0" w:space="0"/>
          <w:right w:val="none" w:color="000000" w:sz="0" w:space="0"/>
          <w:between w:val="nil"/>
        </w:pBdr>
        <w:spacing w:line="276" w:lineRule="auto"/>
        <w:jc w:val="both"/>
        <w:rPr>
          <w:rFonts w:ascii="Open Sans" w:hAnsi="Open Sans" w:eastAsia="Arial" w:cs="Open Sans"/>
          <w:color w:val="000000"/>
          <w:sz w:val="20"/>
          <w:szCs w:val="20"/>
        </w:rPr>
      </w:pPr>
    </w:p>
    <w:p w:rsidRPr="00D93433" w:rsidR="004A124F" w:rsidP="00365A72" w:rsidRDefault="004A124F" w14:paraId="055AF871" w14:textId="77777777">
      <w:pPr>
        <w:pStyle w:val="Heading1"/>
        <w:keepLines/>
        <w:spacing w:after="120"/>
        <w:rPr>
          <w:rFonts w:ascii="Montserrat" w:hAnsi="Montserrat"/>
          <w:b/>
          <w:i w:val="0"/>
          <w:color w:val="C00000"/>
          <w:sz w:val="24"/>
          <w:szCs w:val="24"/>
        </w:rPr>
      </w:pPr>
      <w:r w:rsidRPr="00D93433">
        <w:rPr>
          <w:rFonts w:ascii="Montserrat" w:hAnsi="Montserrat"/>
          <w:b/>
          <w:i w:val="0"/>
          <w:color w:val="C00000"/>
          <w:sz w:val="24"/>
          <w:szCs w:val="20"/>
          <w:u w:val="none"/>
        </w:rPr>
        <w:t>Outils et ressources supplémentaires</w:t>
      </w:r>
    </w:p>
    <w:p w:rsidRPr="00D93433" w:rsidR="004A124F" w:rsidP="004A124F" w:rsidRDefault="004A124F" w14:paraId="0DF9CCBD" w14:textId="77777777">
      <w:pPr>
        <w:pBdr>
          <w:top w:val="nil"/>
          <w:left w:val="nil"/>
          <w:bottom w:val="nil"/>
          <w:right w:val="nil"/>
          <w:between w:val="nil"/>
        </w:pBdr>
        <w:spacing w:line="276" w:lineRule="auto"/>
        <w:rPr>
          <w:rStyle w:val="Hyperlink"/>
          <w:rFonts w:ascii="Open Sans" w:hAnsi="Open Sans" w:cs="Open Sans"/>
          <w:b/>
          <w:bCs/>
          <w:sz w:val="20"/>
          <w:szCs w:val="20"/>
        </w:rPr>
      </w:pPr>
      <w:hyperlink w:history="1" r:id="rId13">
        <w:r w:rsidRPr="00D93433">
          <w:rPr>
            <w:rStyle w:val="Hyperlink"/>
            <w:rFonts w:ascii="Open Sans" w:hAnsi="Open Sans"/>
            <w:b/>
            <w:sz w:val="20"/>
            <w:szCs w:val="22"/>
          </w:rPr>
          <w:t>Guide de la Croix-Rouge et du Croissant-Rouge sur l'engagement communautaire et la redevabilité</w:t>
        </w:r>
      </w:hyperlink>
      <w:r w:rsidRPr="00D93433" w:rsidR="00D93433">
        <w:rPr>
          <w:rStyle w:val="Hyperlink"/>
          <w:rFonts w:ascii="Open Sans" w:hAnsi="Open Sans"/>
          <w:b/>
          <w:sz w:val="20"/>
          <w:szCs w:val="22"/>
        </w:rPr>
        <w:t xml:space="preserve"> </w:t>
      </w:r>
    </w:p>
    <w:p w:rsidRPr="00D93433" w:rsidR="004A124F" w:rsidP="004A124F" w:rsidRDefault="004A124F" w14:paraId="43301F4A" w14:textId="77777777">
      <w:pPr>
        <w:pBdr>
          <w:top w:val="nil"/>
          <w:left w:val="nil"/>
          <w:bottom w:val="nil"/>
          <w:right w:val="nil"/>
          <w:between w:val="nil"/>
        </w:pBdr>
        <w:spacing w:line="276" w:lineRule="auto"/>
        <w:rPr>
          <w:rFonts w:ascii="Open Sans" w:hAnsi="Open Sans" w:cs="Open Sans"/>
          <w:color w:val="000000"/>
          <w:sz w:val="20"/>
          <w:szCs w:val="20"/>
        </w:rPr>
      </w:pPr>
      <w:r w:rsidRPr="00D93433">
        <w:rPr>
          <w:rFonts w:ascii="Open Sans" w:hAnsi="Open Sans"/>
          <w:color w:val="000000"/>
          <w:sz w:val="20"/>
          <w:szCs w:val="22"/>
        </w:rPr>
        <w:t xml:space="preserve">Le Guide CEA de la Croix-Rouge et du Croissant-Rouge fournit des conseils pratiques et un soutien au personnel et aux volontaires de tous les secteurs, y compris la direction, afin qu'ils intègrent des approches d'engagement communautaire dans leur travail. Il comprend des conseils étape par étape pour réaliser les 18 actions minimales pour un bon engagement communautaire et la redevabilité, des études de cas et des liens vers des outils et des kits de formation. </w:t>
      </w:r>
    </w:p>
    <w:p w:rsidRPr="00D93433" w:rsidR="004A124F" w:rsidP="004A124F" w:rsidRDefault="004A124F" w14:paraId="687C7982" w14:textId="77777777">
      <w:pPr>
        <w:pBdr>
          <w:top w:val="nil"/>
          <w:left w:val="nil"/>
          <w:bottom w:val="nil"/>
          <w:right w:val="nil"/>
          <w:between w:val="nil"/>
        </w:pBdr>
        <w:spacing w:line="276" w:lineRule="auto"/>
        <w:rPr>
          <w:rFonts w:ascii="Open Sans" w:hAnsi="Open Sans" w:cs="Open Sans"/>
          <w:color w:val="000000"/>
          <w:sz w:val="20"/>
          <w:szCs w:val="20"/>
        </w:rPr>
      </w:pPr>
    </w:p>
    <w:p w:rsidRPr="00D93433" w:rsidR="004A124F" w:rsidP="004A124F" w:rsidRDefault="004A124F" w14:paraId="0A4E5695" w14:textId="77777777">
      <w:pPr>
        <w:pBdr>
          <w:top w:val="nil"/>
          <w:left w:val="nil"/>
          <w:bottom w:val="nil"/>
          <w:right w:val="nil"/>
          <w:between w:val="nil"/>
        </w:pBdr>
        <w:spacing w:line="276" w:lineRule="auto"/>
        <w:rPr>
          <w:rFonts w:ascii="Open Sans" w:hAnsi="Open Sans" w:cs="Open Sans"/>
          <w:b/>
          <w:color w:val="000000"/>
          <w:sz w:val="20"/>
          <w:szCs w:val="20"/>
        </w:rPr>
      </w:pPr>
      <w:hyperlink w:history="1" r:id="rId14">
        <w:r w:rsidRPr="00D93433">
          <w:rPr>
            <w:rStyle w:val="Hyperlink"/>
            <w:rFonts w:ascii="Open Sans" w:hAnsi="Open Sans"/>
            <w:b/>
            <w:sz w:val="20"/>
            <w:szCs w:val="22"/>
          </w:rPr>
          <w:t>La boîte à outils CEA</w:t>
        </w:r>
      </w:hyperlink>
    </w:p>
    <w:p w:rsidRPr="00D93433" w:rsidR="004A124F" w:rsidP="52DF5732" w:rsidRDefault="004A124F" w14:paraId="7A5C4A3F" w14:textId="1F494FF4">
      <w:pPr>
        <w:spacing w:line="276" w:lineRule="auto"/>
        <w:rPr>
          <w:rFonts w:ascii="Open Sans" w:hAnsi="Open Sans" w:cs="Open Sans"/>
          <w:color w:val="000000"/>
          <w:sz w:val="20"/>
          <w:szCs w:val="20"/>
        </w:rPr>
      </w:pPr>
      <w:r w:rsidRPr="52DF5732" w:rsidR="004A124F">
        <w:rPr>
          <w:rFonts w:ascii="Open Sans" w:hAnsi="Open Sans"/>
          <w:color w:val="000000" w:themeColor="text1" w:themeTint="FF" w:themeShade="FF"/>
          <w:sz w:val="20"/>
          <w:szCs w:val="20"/>
        </w:rPr>
        <w:t xml:space="preserve">La boîte à outils du CEA accompagne le guide du CEA et est hébergée sur le centre communautaire (ci-dessous). La boîte à outils comprend des modèles, des listes de contrôle et des conseils détaillés, notamment un outil d'évaluation, un outil de suivi et d'évaluation, un guide et des outils pour mettre en place des mécanismes de retour d'information et des modèles de politiques, de stratégies et de plans de travail en matière du CEA. Ces outils aident le personnel et les </w:t>
      </w:r>
      <w:r w:rsidRPr="52DF5732" w:rsidR="6FB9DB31">
        <w:rPr>
          <w:rFonts w:ascii="Open Sans" w:hAnsi="Open Sans"/>
          <w:color w:val="000000" w:themeColor="text1" w:themeTint="FF" w:themeShade="FF"/>
          <w:sz w:val="20"/>
          <w:szCs w:val="20"/>
        </w:rPr>
        <w:t>volontaires</w:t>
      </w:r>
      <w:r w:rsidRPr="52DF5732" w:rsidR="004A124F">
        <w:rPr>
          <w:rFonts w:ascii="Open Sans" w:hAnsi="Open Sans"/>
          <w:color w:val="000000" w:themeColor="text1" w:themeTint="FF" w:themeShade="FF"/>
          <w:sz w:val="20"/>
          <w:szCs w:val="20"/>
        </w:rPr>
        <w:t xml:space="preserve"> à mettre en pratique les actions minimales du CEA.</w:t>
      </w:r>
    </w:p>
    <w:p w:rsidRPr="00D93433" w:rsidR="004A124F" w:rsidP="004A124F" w:rsidRDefault="004A124F" w14:paraId="419954F6" w14:textId="77777777">
      <w:pPr>
        <w:spacing w:line="276" w:lineRule="auto"/>
        <w:rPr>
          <w:rFonts w:ascii="Open Sans" w:hAnsi="Open Sans" w:cs="Open Sans"/>
          <w:sz w:val="20"/>
          <w:szCs w:val="20"/>
          <w:lang w:eastAsia="x-none"/>
        </w:rPr>
      </w:pPr>
    </w:p>
    <w:p w:rsidRPr="00D93433" w:rsidR="004A124F" w:rsidP="004A124F" w:rsidRDefault="004A124F" w14:paraId="325D47CC" w14:textId="77777777">
      <w:pPr>
        <w:pBdr>
          <w:top w:val="nil"/>
          <w:left w:val="nil"/>
          <w:bottom w:val="nil"/>
          <w:right w:val="nil"/>
          <w:between w:val="nil"/>
        </w:pBdr>
        <w:spacing w:line="276" w:lineRule="auto"/>
        <w:rPr>
          <w:rFonts w:ascii="Open Sans" w:hAnsi="Open Sans" w:cs="Open Sans"/>
          <w:b/>
          <w:color w:val="000000"/>
          <w:sz w:val="20"/>
          <w:szCs w:val="20"/>
          <w:vertAlign w:val="superscript"/>
        </w:rPr>
      </w:pPr>
      <w:hyperlink w:history="1" r:id="rId15">
        <w:r w:rsidRPr="00D93433">
          <w:rPr>
            <w:rStyle w:val="Hyperlink"/>
            <w:rFonts w:ascii="Open Sans" w:hAnsi="Open Sans"/>
            <w:b/>
            <w:sz w:val="20"/>
            <w:szCs w:val="22"/>
          </w:rPr>
          <w:t>Le centre d'engagement communautaire</w:t>
        </w:r>
      </w:hyperlink>
    </w:p>
    <w:p w:rsidRPr="00D93433" w:rsidR="004A124F" w:rsidP="004A124F" w:rsidRDefault="004A124F" w14:paraId="3F981C33" w14:textId="24FE6D9D">
      <w:pPr>
        <w:pBdr>
          <w:top w:val="nil"/>
          <w:left w:val="nil"/>
          <w:bottom w:val="nil"/>
          <w:right w:val="nil"/>
          <w:between w:val="nil"/>
        </w:pBdr>
        <w:spacing w:line="276" w:lineRule="auto"/>
        <w:rPr>
          <w:rStyle w:val="Hyperlink"/>
          <w:rFonts w:ascii="Open Sans" w:hAnsi="Open Sans" w:cs="Open Sans"/>
          <w:sz w:val="20"/>
          <w:szCs w:val="20"/>
        </w:rPr>
      </w:pPr>
      <w:r w:rsidRPr="00D93433">
        <w:rPr>
          <w:rFonts w:ascii="Open Sans" w:hAnsi="Open Sans"/>
          <w:color w:val="000000"/>
          <w:sz w:val="20"/>
          <w:szCs w:val="22"/>
        </w:rPr>
        <w:t>Le centre d'engagement communautaire (Community Engagement Hub) est une plateforme en ligne gratuite, hébergée par la Croix-Rouge britannique, qui propose un "guichet unique" pour l'engagement communautaire et la redevabilité. Le centre contient plus de 300 ressources et comprend des kits de formation, un jeu d'apprentissage en ligne, une carte interactive, un forum de discussion ainsi que des outils, des guides et des études de cas sur toute une série de sujets allant des mécanismes de retour d'information aux programmes radio. Financé par le ministère britannique des affaires étrangères, du Commonwealth et du développement, le centre est disponible en anglais, français, espagnol et arabe.</w:t>
      </w:r>
      <w:r w:rsidRPr="00D93433">
        <w:rPr>
          <w:rStyle w:val="Hyperlink"/>
          <w:rFonts w:ascii="Open Sans" w:hAnsi="Open Sans"/>
          <w:sz w:val="20"/>
          <w:szCs w:val="22"/>
        </w:rPr>
        <w:t xml:space="preserve"> </w:t>
      </w:r>
    </w:p>
    <w:p w:rsidRPr="00D93433" w:rsidR="004A124F" w:rsidP="00662750" w:rsidRDefault="004A124F" w14:paraId="0651A606" w14:textId="77777777">
      <w:pPr>
        <w:pBdr>
          <w:top w:val="none" w:color="000000" w:sz="0" w:space="0"/>
          <w:left w:val="none" w:color="000000" w:sz="0" w:space="0"/>
          <w:bottom w:val="none" w:color="000000" w:sz="0" w:space="0"/>
          <w:right w:val="none" w:color="000000" w:sz="0" w:space="0"/>
          <w:between w:val="nil"/>
        </w:pBdr>
        <w:spacing w:line="276" w:lineRule="auto"/>
        <w:jc w:val="both"/>
        <w:rPr>
          <w:rFonts w:ascii="Open Sans" w:hAnsi="Open Sans" w:eastAsia="Arial" w:cs="Open Sans"/>
          <w:color w:val="000000"/>
          <w:sz w:val="20"/>
          <w:szCs w:val="20"/>
        </w:rPr>
      </w:pPr>
    </w:p>
    <w:sectPr w:rsidRPr="00D93433" w:rsidR="004A124F" w:rsidSect="00D838C7">
      <w:headerReference w:type="default" r:id="rId16"/>
      <w:footerReference w:type="even" r:id="rId17"/>
      <w:footerReference w:type="default" r:id="rId18"/>
      <w:footerReference w:type="first" r:id="rId19"/>
      <w:pgSz w:w="11900" w:h="16840" w:orient="portrait"/>
      <w:pgMar w:top="1440" w:right="1080" w:bottom="128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41EEC" w:rsidP="003218D0" w:rsidRDefault="00041EEC" w14:paraId="422E4742" w14:textId="77777777">
      <w:r>
        <w:separator/>
      </w:r>
    </w:p>
  </w:endnote>
  <w:endnote w:type="continuationSeparator" w:id="0">
    <w:p w:rsidR="00041EEC" w:rsidP="003218D0" w:rsidRDefault="00041EEC" w14:paraId="6C5D2A2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ontserrat">
    <w:altName w:val="Calibri"/>
    <w:charset w:val="00"/>
    <w:family w:val="auto"/>
    <w:pitch w:val="variable"/>
    <w:sig w:usb0="2000020F" w:usb1="00000003" w:usb2="00000000" w:usb3="00000000" w:csb0="00000197"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xmlns:pic="http://schemas.openxmlformats.org/drawingml/2006/picture" mc:Ignorable="w14 w15 w16se w16cid w16 w16cex w16sdtdh w16du wp14">
  <w:p w:rsidR="003160C3" w:rsidRDefault="00D056B8" w14:paraId="33B51E0E" w14:textId="6D07EAB5">
    <w:pPr>
      <w:pStyle w:val="Footer"/>
    </w:pPr>
    <w:r>
      <w:rPr>
        <w:noProof/>
      </w:rPr>
      <mc:AlternateContent>
        <mc:Choice Requires="wps">
          <w:drawing>
            <wp:anchor distT="0" distB="0" distL="0" distR="0" simplePos="0" relativeHeight="251676672" behindDoc="0" locked="0" layoutInCell="1" allowOverlap="1" wp14:anchorId="63C42061" wp14:editId="09927A33">
              <wp:simplePos x="635" y="635"/>
              <wp:positionH relativeFrom="page">
                <wp:align>left</wp:align>
              </wp:positionH>
              <wp:positionV relativeFrom="page">
                <wp:align>bottom</wp:align>
              </wp:positionV>
              <wp:extent cx="443865" cy="443865"/>
              <wp:effectExtent l="0" t="0" r="6350" b="0"/>
              <wp:wrapNone/>
              <wp:docPr id="1909728719"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D056B8" w:rsidR="00D056B8" w:rsidP="00D056B8" w:rsidRDefault="00D056B8" w14:paraId="3735B921" w14:textId="230BEFF8">
                          <w:pPr>
                            <w:rPr>
                              <w:rFonts w:ascii="Calibri" w:hAnsi="Calibri" w:eastAsia="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63C42061">
              <v:stroke joinstyle="miter"/>
              <v:path gradientshapeok="t" o:connecttype="rect"/>
            </v:shapetype>
            <v:shape id="Text Box 2" style="position:absolute;margin-left:0;margin-top:0;width:34.95pt;height:34.95pt;z-index:251676672;visibility:visible;mso-wrap-style:none;mso-wrap-distance-left:0;mso-wrap-distance-top:0;mso-wrap-distance-right:0;mso-wrap-distance-bottom:0;mso-position-horizontal:left;mso-position-horizontal-relative:page;mso-position-vertical:bottom;mso-position-vertical-relative:page;v-text-anchor:bottom" alt="Public"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v:textbox style="mso-fit-shape-to-text:t" inset="20pt,0,0,15pt">
                <w:txbxContent>
                  <w:p w:rsidRPr="00D056B8" w:rsidR="00D056B8" w:rsidP="00D056B8" w:rsidRDefault="00D056B8" w14:paraId="3735B921" w14:textId="230BEFF8">
                    <w:pPr>
                      <w:rPr>
                        <w:rFonts w:ascii="Calibri" w:hAnsi="Calibri" w:eastAsia="Calibri" w:cs="Calibri"/>
                        <w:noProof/>
                        <w:color w:val="000000"/>
                        <w:sz w:val="20"/>
                        <w:szCs w:val="20"/>
                      </w:rPr>
                    </w:pPr>
                    <w:r>
                      <w:rPr>
                        <w:rFonts w:ascii="Calibri" w:hAnsi="Calibri"/>
                        <w:color w:val="000000"/>
                        <w:sz w:val="20"/>
                      </w:rPr>
                      <w:t>Public</w:t>
                    </w:r>
                  </w:p>
                </w:txbxContent>
              </v:textbox>
              <w10:wrap anchorx="page" anchory="page"/>
            </v:shape>
          </w:pict>
        </mc:Fallback>
      </mc:AlternateContent>
    </w:r>
    <w:r>
      <w:ptab w:alignment="center" w:relativeTo="margin" w:leader="none"/>
    </w:r>
    <w:r>
      <w:ptab w:alignment="right" w:relativeTo="margin" w:leader="none"/>
    </w:r>
    <w:r>
      <w:rPr>
        <w:noProof/>
      </w:rPr>
      <w:drawing>
        <wp:anchor distT="0" distB="0" distL="114300" distR="114300" simplePos="0" relativeHeight="251672576" behindDoc="0" locked="0" layoutInCell="1" allowOverlap="1" wp14:anchorId="3B3F98E9" wp14:editId="11DA03C1">
          <wp:simplePos x="0" y="0"/>
          <wp:positionH relativeFrom="margin">
            <wp:posOffset>3088640</wp:posOffset>
          </wp:positionH>
          <wp:positionV relativeFrom="paragraph">
            <wp:posOffset>66040</wp:posOffset>
          </wp:positionV>
          <wp:extent cx="2835081" cy="273008"/>
          <wp:effectExtent l="0" t="0" r="0" b="6985"/>
          <wp:wrapNone/>
          <wp:docPr id="24" name="Picture 24" descr="logoFED-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FED-eng"/>
                  <pic:cNvPicPr>
                    <a:picLocks noChangeAspect="1" noChangeArrowheads="1"/>
                  </pic:cNvPicPr>
                </pic:nvPicPr>
                <pic:blipFill>
                  <a:blip r:embed="rId1"/>
                  <a:srcRect/>
                  <a:stretch>
                    <a:fillRect/>
                  </a:stretch>
                </pic:blipFill>
                <pic:spPr bwMode="auto">
                  <a:xfrm>
                    <a:off x="0" y="0"/>
                    <a:ext cx="2836276" cy="273123"/>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3160C3" w:rsidRDefault="00D056B8" w14:paraId="589A3CA4" w14:textId="2558313E">
    <w:pPr>
      <w:pStyle w:val="Footer"/>
    </w:pPr>
    <w:r>
      <w:rPr>
        <w:noProof/>
      </w:rPr>
      <mc:AlternateContent>
        <mc:Choice Requires="wps">
          <w:drawing>
            <wp:anchor distT="0" distB="0" distL="0" distR="0" simplePos="0" relativeHeight="251677696" behindDoc="0" locked="0" layoutInCell="1" allowOverlap="1" wp14:anchorId="4365E539" wp14:editId="79133906">
              <wp:simplePos x="0" y="0"/>
              <wp:positionH relativeFrom="page">
                <wp:align>left</wp:align>
              </wp:positionH>
              <wp:positionV relativeFrom="page">
                <wp:align>bottom</wp:align>
              </wp:positionV>
              <wp:extent cx="443865" cy="443865"/>
              <wp:effectExtent l="0" t="0" r="6350" b="0"/>
              <wp:wrapNone/>
              <wp:docPr id="1624475495"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D056B8" w:rsidR="00D056B8" w:rsidP="00D056B8" w:rsidRDefault="00D056B8" w14:paraId="0117D993" w14:textId="0B027CDA">
                          <w:pPr>
                            <w:rPr>
                              <w:rFonts w:ascii="Calibri" w:hAnsi="Calibri" w:eastAsia="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4365E539">
              <v:stroke joinstyle="miter"/>
              <v:path gradientshapeok="t" o:connecttype="rect"/>
            </v:shapetype>
            <v:shape id="Text Box 3" style="position:absolute;margin-left:0;margin-top:0;width:34.95pt;height:34.95pt;z-index:251677696;visibility:visible;mso-wrap-style:none;mso-wrap-distance-left:0;mso-wrap-distance-top:0;mso-wrap-distance-right:0;mso-wrap-distance-bottom:0;mso-position-horizontal:left;mso-position-horizontal-relative:page;mso-position-vertical:bottom;mso-position-vertical-relative:page;v-text-anchor:bottom" alt="Public"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v:textbox style="mso-fit-shape-to-text:t" inset="20pt,0,0,15pt">
                <w:txbxContent>
                  <w:p w:rsidRPr="00D056B8" w:rsidR="00D056B8" w:rsidP="00D056B8" w:rsidRDefault="00D056B8" w14:paraId="0117D993" w14:textId="0B027CDA">
                    <w:pPr>
                      <w:rPr>
                        <w:rFonts w:ascii="Calibri" w:hAnsi="Calibri" w:eastAsia="Calibri" w:cs="Calibri"/>
                        <w:noProof/>
                        <w:color w:val="000000"/>
                        <w:sz w:val="20"/>
                        <w:szCs w:val="20"/>
                      </w:rPr>
                    </w:pPr>
                    <w:r>
                      <w:rPr>
                        <w:rFonts w:ascii="Calibri" w:hAnsi="Calibri"/>
                        <w:color w:val="000000"/>
                        <w:sz w:val="20"/>
                      </w:rPr>
                      <w:t>Public</w:t>
                    </w:r>
                  </w:p>
                </w:txbxContent>
              </v:textbox>
              <w10:wrap anchorx="page" anchory="page"/>
            </v:shape>
          </w:pict>
        </mc:Fallback>
      </mc:AlternateContent>
    </w:r>
    <w:r>
      <w:ptab w:alignment="center" w:relativeTo="margin" w:leader="none"/>
    </w:r>
    <w:r>
      <w:ptab w:alignment="right" w:relativeTo="margin"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D056B8" w:rsidRDefault="00D056B8" w14:paraId="2D5D0B81" w14:textId="019D6399">
    <w:pPr>
      <w:pStyle w:val="Footer"/>
    </w:pPr>
    <w:r>
      <w:rPr>
        <w:noProof/>
      </w:rPr>
      <mc:AlternateContent>
        <mc:Choice Requires="wps">
          <w:drawing>
            <wp:anchor distT="0" distB="0" distL="0" distR="0" simplePos="0" relativeHeight="251675648" behindDoc="0" locked="0" layoutInCell="1" allowOverlap="1" wp14:anchorId="0E028DCC" wp14:editId="77A0AE09">
              <wp:simplePos x="635" y="635"/>
              <wp:positionH relativeFrom="page">
                <wp:align>left</wp:align>
              </wp:positionH>
              <wp:positionV relativeFrom="page">
                <wp:align>bottom</wp:align>
              </wp:positionV>
              <wp:extent cx="443865" cy="443865"/>
              <wp:effectExtent l="0" t="0" r="6350" b="0"/>
              <wp:wrapNone/>
              <wp:docPr id="1443506207"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D056B8" w:rsidR="00D056B8" w:rsidP="00D056B8" w:rsidRDefault="00D056B8" w14:paraId="69453C43" w14:textId="2025B893">
                          <w:pPr>
                            <w:rPr>
                              <w:rFonts w:ascii="Calibri" w:hAnsi="Calibri" w:eastAsia="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0E028DCC">
              <v:stroke joinstyle="miter"/>
              <v:path gradientshapeok="t" o:connecttype="rect"/>
            </v:shapetype>
            <v:shape id="Text Box 1" style="position:absolute;margin-left:0;margin-top:0;width:34.95pt;height:34.95pt;z-index:251675648;visibility:visible;mso-wrap-style:none;mso-wrap-distance-left:0;mso-wrap-distance-top:0;mso-wrap-distance-right:0;mso-wrap-distance-bottom:0;mso-position-horizontal:left;mso-position-horizontal-relative:page;mso-position-vertical:bottom;mso-position-vertical-relative:page;v-text-anchor:bottom" alt="Public"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v:textbox style="mso-fit-shape-to-text:t" inset="20pt,0,0,15pt">
                <w:txbxContent>
                  <w:p w:rsidRPr="00D056B8" w:rsidR="00D056B8" w:rsidP="00D056B8" w:rsidRDefault="00D056B8" w14:paraId="69453C43" w14:textId="2025B893">
                    <w:pPr>
                      <w:rPr>
                        <w:rFonts w:ascii="Calibri" w:hAnsi="Calibri" w:eastAsia="Calibri" w:cs="Calibri"/>
                        <w:noProof/>
                        <w:color w:val="000000"/>
                        <w:sz w:val="20"/>
                        <w:szCs w:val="20"/>
                      </w:rPr>
                    </w:pPr>
                    <w:r>
                      <w:rPr>
                        <w:rFonts w:ascii="Calibri" w:hAnsi="Calibri"/>
                        <w:color w:val="000000"/>
                        <w:sz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41EEC" w:rsidP="003218D0" w:rsidRDefault="00041EEC" w14:paraId="7D6E1773" w14:textId="77777777">
      <w:r>
        <w:separator/>
      </w:r>
    </w:p>
  </w:footnote>
  <w:footnote w:type="continuationSeparator" w:id="0">
    <w:p w:rsidR="00041EEC" w:rsidP="003218D0" w:rsidRDefault="00041EEC" w14:paraId="5ABD2AFD" w14:textId="77777777">
      <w:r>
        <w:continuationSeparator/>
      </w:r>
    </w:p>
  </w:footnote>
  <w:footnote w:id="1">
    <w:p w:rsidRPr="00365A72" w:rsidR="00365A72" w:rsidRDefault="00365A72" w14:paraId="75A3A7BE" w14:textId="2CF167F6">
      <w:pPr>
        <w:pStyle w:val="FootnoteText"/>
        <w:rPr>
          <w:rFonts w:ascii="Open Sans" w:hAnsi="Open Sans" w:cs="Open Sans"/>
          <w:sz w:val="18"/>
          <w:szCs w:val="18"/>
        </w:rPr>
      </w:pPr>
      <w:r>
        <w:rPr>
          <w:rStyle w:val="FootnoteReference"/>
          <w:rFonts w:ascii="Open Sans" w:hAnsi="Open Sans" w:cs="Open Sans"/>
          <w:sz w:val="18"/>
          <w:szCs w:val="18"/>
        </w:rPr>
        <w:footnoteRef/>
      </w:r>
      <w:r>
        <w:rPr>
          <w:rFonts w:ascii="Open Sans" w:hAnsi="Open Sans"/>
          <w:sz w:val="18"/>
        </w:rPr>
        <w:t xml:space="preserve"> Voir le </w:t>
      </w:r>
      <w:hyperlink w:history="1" r:id="rId1">
        <w:r>
          <w:rPr>
            <w:rStyle w:val="Hyperlink"/>
            <w:rFonts w:ascii="Open Sans" w:hAnsi="Open Sans"/>
            <w:sz w:val="18"/>
          </w:rPr>
          <w:t>code de conduite du Mouvement international de la Croix-Rouge et du Croissant-Rouge pour les opérations de secours en cas de catastrophe</w:t>
        </w:r>
      </w:hyperlink>
      <w:r>
        <w:rPr>
          <w:rFonts w:ascii="Open Sans" w:hAnsi="Open Sans"/>
          <w:sz w:val="18"/>
        </w:rPr>
        <w:t xml:space="preserve"> et </w:t>
      </w:r>
      <w:hyperlink w:history="1" r:id="rId2">
        <w:r>
          <w:rPr>
            <w:rStyle w:val="Hyperlink"/>
            <w:rFonts w:ascii="Open Sans" w:hAnsi="Open Sans"/>
            <w:sz w:val="18"/>
          </w:rPr>
          <w:t>les principes et règles de l'assistance humanitaire de la Croix-Rouge et du Croissant-Rouge.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751EB3" w:rsidRDefault="00751EB3" w14:paraId="02718442" w14:textId="7C27377F">
    <w:pPr>
      <w:pStyle w:val="Header"/>
    </w:pPr>
  </w:p>
  <w:tbl>
    <w:tblPr>
      <w:tblStyle w:val="1"/>
      <w:tblW w:w="4987" w:type="pct"/>
      <w:tblCellMar>
        <w:left w:w="57" w:type="dxa"/>
        <w:right w:w="57" w:type="dxa"/>
      </w:tblCellMar>
      <w:tblLook w:val="0400" w:firstRow="0" w:lastRow="0" w:firstColumn="0" w:lastColumn="0" w:noHBand="0" w:noVBand="1"/>
    </w:tblPr>
    <w:tblGrid>
      <w:gridCol w:w="9326"/>
      <w:gridCol w:w="389"/>
    </w:tblGrid>
    <w:tr w:rsidR="00751EB3" w:rsidTr="00905B19" w14:paraId="2107E7E5" w14:textId="77777777">
      <w:trPr>
        <w:trHeight w:val="207"/>
      </w:trPr>
      <w:tc>
        <w:tcPr>
          <w:tcW w:w="4800" w:type="pct"/>
          <w:tcBorders>
            <w:bottom w:val="single" w:color="000000" w:sz="4" w:space="0"/>
          </w:tcBorders>
          <w:vAlign w:val="bottom"/>
        </w:tcPr>
        <w:p w:rsidRPr="00905B19" w:rsidR="00751EB3" w:rsidP="00751EB3" w:rsidRDefault="00751EB3" w14:paraId="57EB8981" w14:textId="77777777">
          <w:pPr>
            <w:pBdr>
              <w:top w:val="nil"/>
              <w:left w:val="nil"/>
              <w:bottom w:val="nil"/>
              <w:right w:val="nil"/>
              <w:between w:val="nil"/>
            </w:pBdr>
            <w:tabs>
              <w:tab w:val="center" w:pos="4513"/>
              <w:tab w:val="right" w:pos="9026"/>
            </w:tabs>
            <w:ind w:left="720"/>
            <w:jc w:val="right"/>
            <w:rPr>
              <w:rFonts w:ascii="Montserrat" w:hAnsi="Montserrat" w:eastAsia="Montserrat" w:cs="Montserrat"/>
              <w:b/>
              <w:color w:val="000000"/>
            </w:rPr>
          </w:pPr>
          <w:r>
            <w:rPr>
              <w:rFonts w:ascii="Montserrat" w:hAnsi="Montserrat"/>
              <w:b/>
              <w:noProof/>
              <w:color w:val="000000"/>
              <w:sz w:val="22"/>
            </w:rPr>
            <w:drawing>
              <wp:anchor distT="0" distB="0" distL="114300" distR="114300" simplePos="0" relativeHeight="251674624" behindDoc="0" locked="0" layoutInCell="1" allowOverlap="1" wp14:anchorId="4758083E" wp14:editId="13A52741">
                <wp:simplePos x="0" y="0"/>
                <wp:positionH relativeFrom="column">
                  <wp:posOffset>-1076325</wp:posOffset>
                </wp:positionH>
                <wp:positionV relativeFrom="paragraph">
                  <wp:posOffset>-140970</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rPr>
            <w:t>Formation à l'engagement communautaire pour les branches</w:t>
          </w:r>
        </w:p>
        <w:p w:rsidRPr="00905B19" w:rsidR="00751EB3" w:rsidP="00751EB3" w:rsidRDefault="00751EB3" w14:paraId="0206F62E" w14:textId="1924D338">
          <w:pPr>
            <w:pBdr>
              <w:top w:val="nil"/>
              <w:left w:val="nil"/>
              <w:bottom w:val="nil"/>
              <w:right w:val="nil"/>
              <w:between w:val="nil"/>
            </w:pBdr>
            <w:tabs>
              <w:tab w:val="center" w:pos="4513"/>
              <w:tab w:val="right" w:pos="9026"/>
            </w:tabs>
            <w:ind w:left="720"/>
            <w:jc w:val="right"/>
            <w:rPr>
              <w:rFonts w:ascii="Montserrat" w:hAnsi="Montserrat" w:eastAsia="Montserrat" w:cs="Montserrat"/>
              <w:color w:val="000000"/>
              <w:sz w:val="22"/>
              <w:szCs w:val="22"/>
            </w:rPr>
          </w:pPr>
          <w:r>
            <w:rPr>
              <w:rFonts w:ascii="Montserrat" w:hAnsi="Montserrat"/>
              <w:color w:val="000000"/>
              <w:sz w:val="21"/>
            </w:rPr>
            <w:t>Module 1 - Activité 2 : Qu'est-ce que l'engagement communautaire ?</w:t>
          </w:r>
        </w:p>
      </w:tc>
      <w:tc>
        <w:tcPr>
          <w:tcW w:w="200" w:type="pct"/>
          <w:tcBorders>
            <w:bottom w:val="single" w:color="C55911" w:sz="4" w:space="0"/>
          </w:tcBorders>
          <w:shd w:val="clear" w:color="auto" w:fill="FF0000"/>
          <w:vAlign w:val="bottom"/>
        </w:tcPr>
        <w:p w:rsidR="00751EB3" w:rsidP="00751EB3" w:rsidRDefault="00751EB3" w14:paraId="601F04CC" w14:textId="77777777">
          <w:pPr>
            <w:pBdr>
              <w:top w:val="nil"/>
              <w:left w:val="nil"/>
              <w:bottom w:val="nil"/>
              <w:right w:val="nil"/>
              <w:between w:val="nil"/>
            </w:pBdr>
            <w:tabs>
              <w:tab w:val="center" w:pos="4513"/>
              <w:tab w:val="right" w:pos="9026"/>
            </w:tabs>
            <w:rPr>
              <w:rFonts w:ascii="Montserrat" w:hAnsi="Montserrat" w:eastAsia="Montserrat" w:cs="Montserrat"/>
              <w:b/>
              <w:color w:val="FFFFFF"/>
            </w:rPr>
          </w:pPr>
        </w:p>
      </w:tc>
    </w:tr>
  </w:tbl>
  <w:p w:rsidR="00751EB3" w:rsidRDefault="00751EB3" w14:paraId="674993BC"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B60A760"/>
    <w:lvl w:ilvl="0">
      <w:start w:val="1"/>
      <w:numFmt w:val="decimal"/>
      <w:pStyle w:val="ListNumber"/>
      <w:lvlText w:val="%1."/>
      <w:lvlJc w:val="left"/>
      <w:pPr>
        <w:tabs>
          <w:tab w:val="num" w:pos="360"/>
        </w:tabs>
        <w:ind w:left="360" w:hanging="360"/>
      </w:pPr>
    </w:lvl>
  </w:abstractNum>
  <w:abstractNum w:abstractNumId="1" w15:restartNumberingAfterBreak="0">
    <w:nsid w:val="02D01BFF"/>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B52854"/>
    <w:multiLevelType w:val="hybridMultilevel"/>
    <w:tmpl w:val="D8CEF34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91C27F6"/>
    <w:multiLevelType w:val="hybridMultilevel"/>
    <w:tmpl w:val="97A41838"/>
    <w:lvl w:ilvl="0" w:tplc="A28C3FFC">
      <w:start w:val="1"/>
      <w:numFmt w:val="bullet"/>
      <w:lvlText w:val="•"/>
      <w:lvlJc w:val="left"/>
      <w:pPr>
        <w:tabs>
          <w:tab w:val="num" w:pos="720"/>
        </w:tabs>
        <w:ind w:left="720" w:hanging="360"/>
      </w:pPr>
      <w:rPr>
        <w:rFonts w:hint="default" w:ascii="Arial" w:hAnsi="Arial"/>
      </w:rPr>
    </w:lvl>
    <w:lvl w:ilvl="1" w:tplc="06149B08">
      <w:start w:val="1"/>
      <w:numFmt w:val="bullet"/>
      <w:lvlText w:val="•"/>
      <w:lvlJc w:val="left"/>
      <w:pPr>
        <w:tabs>
          <w:tab w:val="num" w:pos="1440"/>
        </w:tabs>
        <w:ind w:left="1440" w:hanging="360"/>
      </w:pPr>
      <w:rPr>
        <w:rFonts w:hint="default" w:ascii="Arial" w:hAnsi="Arial"/>
      </w:rPr>
    </w:lvl>
    <w:lvl w:ilvl="2" w:tplc="FD9E3C24" w:tentative="1">
      <w:start w:val="1"/>
      <w:numFmt w:val="bullet"/>
      <w:lvlText w:val="•"/>
      <w:lvlJc w:val="left"/>
      <w:pPr>
        <w:tabs>
          <w:tab w:val="num" w:pos="2160"/>
        </w:tabs>
        <w:ind w:left="2160" w:hanging="360"/>
      </w:pPr>
      <w:rPr>
        <w:rFonts w:hint="default" w:ascii="Arial" w:hAnsi="Arial"/>
      </w:rPr>
    </w:lvl>
    <w:lvl w:ilvl="3" w:tplc="A650DEBC" w:tentative="1">
      <w:start w:val="1"/>
      <w:numFmt w:val="bullet"/>
      <w:lvlText w:val="•"/>
      <w:lvlJc w:val="left"/>
      <w:pPr>
        <w:tabs>
          <w:tab w:val="num" w:pos="2880"/>
        </w:tabs>
        <w:ind w:left="2880" w:hanging="360"/>
      </w:pPr>
      <w:rPr>
        <w:rFonts w:hint="default" w:ascii="Arial" w:hAnsi="Arial"/>
      </w:rPr>
    </w:lvl>
    <w:lvl w:ilvl="4" w:tplc="8DDCB2F0" w:tentative="1">
      <w:start w:val="1"/>
      <w:numFmt w:val="bullet"/>
      <w:lvlText w:val="•"/>
      <w:lvlJc w:val="left"/>
      <w:pPr>
        <w:tabs>
          <w:tab w:val="num" w:pos="3600"/>
        </w:tabs>
        <w:ind w:left="3600" w:hanging="360"/>
      </w:pPr>
      <w:rPr>
        <w:rFonts w:hint="default" w:ascii="Arial" w:hAnsi="Arial"/>
      </w:rPr>
    </w:lvl>
    <w:lvl w:ilvl="5" w:tplc="48A096E2" w:tentative="1">
      <w:start w:val="1"/>
      <w:numFmt w:val="bullet"/>
      <w:lvlText w:val="•"/>
      <w:lvlJc w:val="left"/>
      <w:pPr>
        <w:tabs>
          <w:tab w:val="num" w:pos="4320"/>
        </w:tabs>
        <w:ind w:left="4320" w:hanging="360"/>
      </w:pPr>
      <w:rPr>
        <w:rFonts w:hint="default" w:ascii="Arial" w:hAnsi="Arial"/>
      </w:rPr>
    </w:lvl>
    <w:lvl w:ilvl="6" w:tplc="E3D86ED2" w:tentative="1">
      <w:start w:val="1"/>
      <w:numFmt w:val="bullet"/>
      <w:lvlText w:val="•"/>
      <w:lvlJc w:val="left"/>
      <w:pPr>
        <w:tabs>
          <w:tab w:val="num" w:pos="5040"/>
        </w:tabs>
        <w:ind w:left="5040" w:hanging="360"/>
      </w:pPr>
      <w:rPr>
        <w:rFonts w:hint="default" w:ascii="Arial" w:hAnsi="Arial"/>
      </w:rPr>
    </w:lvl>
    <w:lvl w:ilvl="7" w:tplc="0C440E22" w:tentative="1">
      <w:start w:val="1"/>
      <w:numFmt w:val="bullet"/>
      <w:lvlText w:val="•"/>
      <w:lvlJc w:val="left"/>
      <w:pPr>
        <w:tabs>
          <w:tab w:val="num" w:pos="5760"/>
        </w:tabs>
        <w:ind w:left="5760" w:hanging="360"/>
      </w:pPr>
      <w:rPr>
        <w:rFonts w:hint="default" w:ascii="Arial" w:hAnsi="Arial"/>
      </w:rPr>
    </w:lvl>
    <w:lvl w:ilvl="8" w:tplc="7E1EBD40" w:tentative="1">
      <w:start w:val="1"/>
      <w:numFmt w:val="bullet"/>
      <w:lvlText w:val="•"/>
      <w:lvlJc w:val="left"/>
      <w:pPr>
        <w:tabs>
          <w:tab w:val="num" w:pos="6480"/>
        </w:tabs>
        <w:ind w:left="6480" w:hanging="360"/>
      </w:pPr>
      <w:rPr>
        <w:rFonts w:hint="default" w:ascii="Arial" w:hAnsi="Arial"/>
      </w:rPr>
    </w:lvl>
  </w:abstractNum>
  <w:abstractNum w:abstractNumId="4" w15:restartNumberingAfterBreak="0">
    <w:nsid w:val="0AB44108"/>
    <w:multiLevelType w:val="hybridMultilevel"/>
    <w:tmpl w:val="65AA8100"/>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B2E1D86"/>
    <w:multiLevelType w:val="hybridMultilevel"/>
    <w:tmpl w:val="AEA687BA"/>
    <w:lvl w:ilvl="0" w:tplc="08090001">
      <w:start w:val="1"/>
      <w:numFmt w:val="bullet"/>
      <w:lvlText w:val=""/>
      <w:lvlJc w:val="left"/>
      <w:pPr>
        <w:ind w:left="720" w:hanging="360"/>
      </w:pPr>
      <w:rPr>
        <w:rFonts w:hint="default" w:ascii="Symbol" w:hAnsi="Symbo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475B5"/>
    <w:multiLevelType w:val="hybridMultilevel"/>
    <w:tmpl w:val="9C469D0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0DE23A0A"/>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A6162D"/>
    <w:multiLevelType w:val="hybridMultilevel"/>
    <w:tmpl w:val="C4E636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9505207"/>
    <w:multiLevelType w:val="multilevel"/>
    <w:tmpl w:val="4FD63E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9686A75"/>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461264"/>
    <w:multiLevelType w:val="hybridMultilevel"/>
    <w:tmpl w:val="710EAD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C62039C"/>
    <w:multiLevelType w:val="hybridMultilevel"/>
    <w:tmpl w:val="4066D2B8"/>
    <w:lvl w:ilvl="0" w:tplc="04090001">
      <w:start w:val="1"/>
      <w:numFmt w:val="bullet"/>
      <w:lvlText w:val=""/>
      <w:lvlJc w:val="left"/>
      <w:pPr>
        <w:ind w:left="2160" w:hanging="360"/>
      </w:pPr>
      <w:rPr>
        <w:rFonts w:hint="default" w:ascii="Symbol" w:hAnsi="Symbol"/>
      </w:rPr>
    </w:lvl>
    <w:lvl w:ilvl="1" w:tplc="04090003">
      <w:start w:val="1"/>
      <w:numFmt w:val="bullet"/>
      <w:lvlText w:val="o"/>
      <w:lvlJc w:val="left"/>
      <w:pPr>
        <w:ind w:left="2880" w:hanging="360"/>
      </w:pPr>
      <w:rPr>
        <w:rFonts w:hint="default" w:ascii="Courier New" w:hAnsi="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rPr>
    </w:lvl>
    <w:lvl w:ilvl="8" w:tplc="04090005" w:tentative="1">
      <w:start w:val="1"/>
      <w:numFmt w:val="bullet"/>
      <w:lvlText w:val=""/>
      <w:lvlJc w:val="left"/>
      <w:pPr>
        <w:ind w:left="7920" w:hanging="360"/>
      </w:pPr>
      <w:rPr>
        <w:rFonts w:hint="default" w:ascii="Wingdings" w:hAnsi="Wingdings"/>
      </w:rPr>
    </w:lvl>
  </w:abstractNum>
  <w:abstractNum w:abstractNumId="13" w15:restartNumberingAfterBreak="0">
    <w:nsid w:val="1DCD75BE"/>
    <w:multiLevelType w:val="hybridMultilevel"/>
    <w:tmpl w:val="920669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1F8860A4"/>
    <w:multiLevelType w:val="multilevel"/>
    <w:tmpl w:val="A0929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2004016B"/>
    <w:multiLevelType w:val="hybridMultilevel"/>
    <w:tmpl w:val="2BA020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22654268"/>
    <w:multiLevelType w:val="hybridMultilevel"/>
    <w:tmpl w:val="B08EBA32"/>
    <w:lvl w:ilvl="0" w:tplc="95D69AC2">
      <w:start w:val="1"/>
      <w:numFmt w:val="bullet"/>
      <w:lvlText w:val="•"/>
      <w:lvlJc w:val="left"/>
      <w:pPr>
        <w:tabs>
          <w:tab w:val="num" w:pos="720"/>
        </w:tabs>
        <w:ind w:left="720" w:hanging="360"/>
      </w:pPr>
      <w:rPr>
        <w:rFonts w:hint="default" w:ascii="Arial" w:hAnsi="Arial"/>
      </w:rPr>
    </w:lvl>
    <w:lvl w:ilvl="1" w:tplc="A25897DE">
      <w:start w:val="1"/>
      <w:numFmt w:val="bullet"/>
      <w:lvlText w:val="•"/>
      <w:lvlJc w:val="left"/>
      <w:pPr>
        <w:tabs>
          <w:tab w:val="num" w:pos="1440"/>
        </w:tabs>
        <w:ind w:left="1440" w:hanging="360"/>
      </w:pPr>
      <w:rPr>
        <w:rFonts w:hint="default" w:ascii="Arial" w:hAnsi="Arial"/>
      </w:rPr>
    </w:lvl>
    <w:lvl w:ilvl="2" w:tplc="966A03C2" w:tentative="1">
      <w:start w:val="1"/>
      <w:numFmt w:val="bullet"/>
      <w:lvlText w:val="•"/>
      <w:lvlJc w:val="left"/>
      <w:pPr>
        <w:tabs>
          <w:tab w:val="num" w:pos="2160"/>
        </w:tabs>
        <w:ind w:left="2160" w:hanging="360"/>
      </w:pPr>
      <w:rPr>
        <w:rFonts w:hint="default" w:ascii="Arial" w:hAnsi="Arial"/>
      </w:rPr>
    </w:lvl>
    <w:lvl w:ilvl="3" w:tplc="96C0D910" w:tentative="1">
      <w:start w:val="1"/>
      <w:numFmt w:val="bullet"/>
      <w:lvlText w:val="•"/>
      <w:lvlJc w:val="left"/>
      <w:pPr>
        <w:tabs>
          <w:tab w:val="num" w:pos="2880"/>
        </w:tabs>
        <w:ind w:left="2880" w:hanging="360"/>
      </w:pPr>
      <w:rPr>
        <w:rFonts w:hint="default" w:ascii="Arial" w:hAnsi="Arial"/>
      </w:rPr>
    </w:lvl>
    <w:lvl w:ilvl="4" w:tplc="B36E05E4" w:tentative="1">
      <w:start w:val="1"/>
      <w:numFmt w:val="bullet"/>
      <w:lvlText w:val="•"/>
      <w:lvlJc w:val="left"/>
      <w:pPr>
        <w:tabs>
          <w:tab w:val="num" w:pos="3600"/>
        </w:tabs>
        <w:ind w:left="3600" w:hanging="360"/>
      </w:pPr>
      <w:rPr>
        <w:rFonts w:hint="default" w:ascii="Arial" w:hAnsi="Arial"/>
      </w:rPr>
    </w:lvl>
    <w:lvl w:ilvl="5" w:tplc="591CE6F6" w:tentative="1">
      <w:start w:val="1"/>
      <w:numFmt w:val="bullet"/>
      <w:lvlText w:val="•"/>
      <w:lvlJc w:val="left"/>
      <w:pPr>
        <w:tabs>
          <w:tab w:val="num" w:pos="4320"/>
        </w:tabs>
        <w:ind w:left="4320" w:hanging="360"/>
      </w:pPr>
      <w:rPr>
        <w:rFonts w:hint="default" w:ascii="Arial" w:hAnsi="Arial"/>
      </w:rPr>
    </w:lvl>
    <w:lvl w:ilvl="6" w:tplc="229E8180" w:tentative="1">
      <w:start w:val="1"/>
      <w:numFmt w:val="bullet"/>
      <w:lvlText w:val="•"/>
      <w:lvlJc w:val="left"/>
      <w:pPr>
        <w:tabs>
          <w:tab w:val="num" w:pos="5040"/>
        </w:tabs>
        <w:ind w:left="5040" w:hanging="360"/>
      </w:pPr>
      <w:rPr>
        <w:rFonts w:hint="default" w:ascii="Arial" w:hAnsi="Arial"/>
      </w:rPr>
    </w:lvl>
    <w:lvl w:ilvl="7" w:tplc="8704132E" w:tentative="1">
      <w:start w:val="1"/>
      <w:numFmt w:val="bullet"/>
      <w:lvlText w:val="•"/>
      <w:lvlJc w:val="left"/>
      <w:pPr>
        <w:tabs>
          <w:tab w:val="num" w:pos="5760"/>
        </w:tabs>
        <w:ind w:left="5760" w:hanging="360"/>
      </w:pPr>
      <w:rPr>
        <w:rFonts w:hint="default" w:ascii="Arial" w:hAnsi="Arial"/>
      </w:rPr>
    </w:lvl>
    <w:lvl w:ilvl="8" w:tplc="14A8DAE6" w:tentative="1">
      <w:start w:val="1"/>
      <w:numFmt w:val="bullet"/>
      <w:lvlText w:val="•"/>
      <w:lvlJc w:val="left"/>
      <w:pPr>
        <w:tabs>
          <w:tab w:val="num" w:pos="6480"/>
        </w:tabs>
        <w:ind w:left="6480" w:hanging="360"/>
      </w:pPr>
      <w:rPr>
        <w:rFonts w:hint="default" w:ascii="Arial" w:hAnsi="Arial"/>
      </w:rPr>
    </w:lvl>
  </w:abstractNum>
  <w:abstractNum w:abstractNumId="17" w15:restartNumberingAfterBreak="0">
    <w:nsid w:val="236E59EE"/>
    <w:multiLevelType w:val="hybridMultilevel"/>
    <w:tmpl w:val="7476350A"/>
    <w:lvl w:ilvl="0" w:tplc="E0A006DC">
      <w:start w:val="8"/>
      <w:numFmt w:val="bullet"/>
      <w:lvlText w:val="-"/>
      <w:lvlJc w:val="left"/>
      <w:pPr>
        <w:ind w:left="720" w:hanging="360"/>
      </w:pPr>
      <w:rPr>
        <w:rFonts w:hint="default" w:ascii="Arial" w:hAnsi="Arial" w:eastAsia="MS Mincho"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8" w15:restartNumberingAfterBreak="0">
    <w:nsid w:val="26414966"/>
    <w:multiLevelType w:val="hybridMultilevel"/>
    <w:tmpl w:val="421805DC"/>
    <w:lvl w:ilvl="0" w:tplc="09729E16">
      <w:start w:val="1"/>
      <w:numFmt w:val="bullet"/>
      <w:lvlText w:val="•"/>
      <w:lvlJc w:val="left"/>
      <w:pPr>
        <w:tabs>
          <w:tab w:val="num" w:pos="720"/>
        </w:tabs>
        <w:ind w:left="720" w:hanging="360"/>
      </w:pPr>
      <w:rPr>
        <w:rFonts w:hint="default" w:ascii="Arial" w:hAnsi="Arial"/>
      </w:rPr>
    </w:lvl>
    <w:lvl w:ilvl="1" w:tplc="57B2C1E8">
      <w:start w:val="1"/>
      <w:numFmt w:val="bullet"/>
      <w:lvlText w:val="•"/>
      <w:lvlJc w:val="left"/>
      <w:pPr>
        <w:tabs>
          <w:tab w:val="num" w:pos="1440"/>
        </w:tabs>
        <w:ind w:left="1440" w:hanging="360"/>
      </w:pPr>
      <w:rPr>
        <w:rFonts w:hint="default" w:ascii="Arial" w:hAnsi="Arial"/>
      </w:rPr>
    </w:lvl>
    <w:lvl w:ilvl="2" w:tplc="5AB09BDA" w:tentative="1">
      <w:start w:val="1"/>
      <w:numFmt w:val="bullet"/>
      <w:lvlText w:val="•"/>
      <w:lvlJc w:val="left"/>
      <w:pPr>
        <w:tabs>
          <w:tab w:val="num" w:pos="2160"/>
        </w:tabs>
        <w:ind w:left="2160" w:hanging="360"/>
      </w:pPr>
      <w:rPr>
        <w:rFonts w:hint="default" w:ascii="Arial" w:hAnsi="Arial"/>
      </w:rPr>
    </w:lvl>
    <w:lvl w:ilvl="3" w:tplc="A57E7242" w:tentative="1">
      <w:start w:val="1"/>
      <w:numFmt w:val="bullet"/>
      <w:lvlText w:val="•"/>
      <w:lvlJc w:val="left"/>
      <w:pPr>
        <w:tabs>
          <w:tab w:val="num" w:pos="2880"/>
        </w:tabs>
        <w:ind w:left="2880" w:hanging="360"/>
      </w:pPr>
      <w:rPr>
        <w:rFonts w:hint="default" w:ascii="Arial" w:hAnsi="Arial"/>
      </w:rPr>
    </w:lvl>
    <w:lvl w:ilvl="4" w:tplc="B1104ABA" w:tentative="1">
      <w:start w:val="1"/>
      <w:numFmt w:val="bullet"/>
      <w:lvlText w:val="•"/>
      <w:lvlJc w:val="left"/>
      <w:pPr>
        <w:tabs>
          <w:tab w:val="num" w:pos="3600"/>
        </w:tabs>
        <w:ind w:left="3600" w:hanging="360"/>
      </w:pPr>
      <w:rPr>
        <w:rFonts w:hint="default" w:ascii="Arial" w:hAnsi="Arial"/>
      </w:rPr>
    </w:lvl>
    <w:lvl w:ilvl="5" w:tplc="3B4A091C" w:tentative="1">
      <w:start w:val="1"/>
      <w:numFmt w:val="bullet"/>
      <w:lvlText w:val="•"/>
      <w:lvlJc w:val="left"/>
      <w:pPr>
        <w:tabs>
          <w:tab w:val="num" w:pos="4320"/>
        </w:tabs>
        <w:ind w:left="4320" w:hanging="360"/>
      </w:pPr>
      <w:rPr>
        <w:rFonts w:hint="default" w:ascii="Arial" w:hAnsi="Arial"/>
      </w:rPr>
    </w:lvl>
    <w:lvl w:ilvl="6" w:tplc="F16C4CC8" w:tentative="1">
      <w:start w:val="1"/>
      <w:numFmt w:val="bullet"/>
      <w:lvlText w:val="•"/>
      <w:lvlJc w:val="left"/>
      <w:pPr>
        <w:tabs>
          <w:tab w:val="num" w:pos="5040"/>
        </w:tabs>
        <w:ind w:left="5040" w:hanging="360"/>
      </w:pPr>
      <w:rPr>
        <w:rFonts w:hint="default" w:ascii="Arial" w:hAnsi="Arial"/>
      </w:rPr>
    </w:lvl>
    <w:lvl w:ilvl="7" w:tplc="1540B852" w:tentative="1">
      <w:start w:val="1"/>
      <w:numFmt w:val="bullet"/>
      <w:lvlText w:val="•"/>
      <w:lvlJc w:val="left"/>
      <w:pPr>
        <w:tabs>
          <w:tab w:val="num" w:pos="5760"/>
        </w:tabs>
        <w:ind w:left="5760" w:hanging="360"/>
      </w:pPr>
      <w:rPr>
        <w:rFonts w:hint="default" w:ascii="Arial" w:hAnsi="Arial"/>
      </w:rPr>
    </w:lvl>
    <w:lvl w:ilvl="8" w:tplc="D15C7534" w:tentative="1">
      <w:start w:val="1"/>
      <w:numFmt w:val="bullet"/>
      <w:lvlText w:val="•"/>
      <w:lvlJc w:val="left"/>
      <w:pPr>
        <w:tabs>
          <w:tab w:val="num" w:pos="6480"/>
        </w:tabs>
        <w:ind w:left="6480" w:hanging="360"/>
      </w:pPr>
      <w:rPr>
        <w:rFonts w:hint="default" w:ascii="Arial" w:hAnsi="Arial"/>
      </w:rPr>
    </w:lvl>
  </w:abstractNum>
  <w:abstractNum w:abstractNumId="19" w15:restartNumberingAfterBreak="0">
    <w:nsid w:val="26CA3CFA"/>
    <w:multiLevelType w:val="hybridMultilevel"/>
    <w:tmpl w:val="149C26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8FF7A81"/>
    <w:multiLevelType w:val="hybridMultilevel"/>
    <w:tmpl w:val="F98ACC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29C52097"/>
    <w:multiLevelType w:val="hybridMultilevel"/>
    <w:tmpl w:val="3FE49FB6"/>
    <w:lvl w:ilvl="0" w:tplc="F84E7EBA">
      <w:start w:val="1"/>
      <w:numFmt w:val="bullet"/>
      <w:lvlText w:val="•"/>
      <w:lvlJc w:val="left"/>
      <w:pPr>
        <w:ind w:left="1080" w:hanging="720"/>
      </w:pPr>
      <w:rPr>
        <w:rFonts w:hint="default" w:ascii="Calibri" w:hAnsi="Calibri" w:cs="Calibri" w:eastAsiaTheme="minorHAnsi"/>
      </w:rPr>
    </w:lvl>
    <w:lvl w:ilvl="1" w:tplc="1D34A272">
      <w:start w:val="14"/>
      <w:numFmt w:val="bullet"/>
      <w:lvlText w:val="-"/>
      <w:lvlJc w:val="left"/>
      <w:pPr>
        <w:ind w:left="1800" w:hanging="720"/>
      </w:pPr>
      <w:rPr>
        <w:rFonts w:hint="default" w:ascii="Calibri" w:hAnsi="Calibri" w:cs="Calibri" w:eastAsiaTheme="minorHAnsi"/>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2A77571A"/>
    <w:multiLevelType w:val="hybridMultilevel"/>
    <w:tmpl w:val="A29EFD8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2E3C76C9"/>
    <w:multiLevelType w:val="hybridMultilevel"/>
    <w:tmpl w:val="9C7AA5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1427F3E"/>
    <w:multiLevelType w:val="multilevel"/>
    <w:tmpl w:val="73561A3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65760EC"/>
    <w:multiLevelType w:val="hybridMultilevel"/>
    <w:tmpl w:val="31EA24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27C5974"/>
    <w:multiLevelType w:val="hybridMultilevel"/>
    <w:tmpl w:val="BD865EA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8" w15:restartNumberingAfterBreak="0">
    <w:nsid w:val="435F64A2"/>
    <w:multiLevelType w:val="hybridMultilevel"/>
    <w:tmpl w:val="F39654AA"/>
    <w:lvl w:ilvl="0" w:tplc="0409000F">
      <w:start w:val="1"/>
      <w:numFmt w:val="decimal"/>
      <w:lvlText w:val="%1."/>
      <w:lvlJc w:val="left"/>
      <w:pPr>
        <w:ind w:left="1081" w:hanging="360"/>
      </w:pPr>
      <w:rPr>
        <w:rFonts w:hint="default"/>
      </w:rPr>
    </w:lvl>
    <w:lvl w:ilvl="1" w:tplc="04090003" w:tentative="1">
      <w:start w:val="1"/>
      <w:numFmt w:val="bullet"/>
      <w:lvlText w:val="o"/>
      <w:lvlJc w:val="left"/>
      <w:pPr>
        <w:ind w:left="1801" w:hanging="360"/>
      </w:pPr>
      <w:rPr>
        <w:rFonts w:hint="default" w:ascii="Courier New" w:hAnsi="Courier New" w:cs="Courier New"/>
      </w:rPr>
    </w:lvl>
    <w:lvl w:ilvl="2" w:tplc="04090005" w:tentative="1">
      <w:start w:val="1"/>
      <w:numFmt w:val="bullet"/>
      <w:lvlText w:val=""/>
      <w:lvlJc w:val="left"/>
      <w:pPr>
        <w:ind w:left="2521" w:hanging="360"/>
      </w:pPr>
      <w:rPr>
        <w:rFonts w:hint="default" w:ascii="Wingdings" w:hAnsi="Wingdings"/>
      </w:rPr>
    </w:lvl>
    <w:lvl w:ilvl="3" w:tplc="04090001" w:tentative="1">
      <w:start w:val="1"/>
      <w:numFmt w:val="bullet"/>
      <w:lvlText w:val=""/>
      <w:lvlJc w:val="left"/>
      <w:pPr>
        <w:ind w:left="3241" w:hanging="360"/>
      </w:pPr>
      <w:rPr>
        <w:rFonts w:hint="default" w:ascii="Symbol" w:hAnsi="Symbol"/>
      </w:rPr>
    </w:lvl>
    <w:lvl w:ilvl="4" w:tplc="04090003" w:tentative="1">
      <w:start w:val="1"/>
      <w:numFmt w:val="bullet"/>
      <w:lvlText w:val="o"/>
      <w:lvlJc w:val="left"/>
      <w:pPr>
        <w:ind w:left="3961" w:hanging="360"/>
      </w:pPr>
      <w:rPr>
        <w:rFonts w:hint="default" w:ascii="Courier New" w:hAnsi="Courier New" w:cs="Courier New"/>
      </w:rPr>
    </w:lvl>
    <w:lvl w:ilvl="5" w:tplc="04090005" w:tentative="1">
      <w:start w:val="1"/>
      <w:numFmt w:val="bullet"/>
      <w:lvlText w:val=""/>
      <w:lvlJc w:val="left"/>
      <w:pPr>
        <w:ind w:left="4681" w:hanging="360"/>
      </w:pPr>
      <w:rPr>
        <w:rFonts w:hint="default" w:ascii="Wingdings" w:hAnsi="Wingdings"/>
      </w:rPr>
    </w:lvl>
    <w:lvl w:ilvl="6" w:tplc="04090001" w:tentative="1">
      <w:start w:val="1"/>
      <w:numFmt w:val="bullet"/>
      <w:lvlText w:val=""/>
      <w:lvlJc w:val="left"/>
      <w:pPr>
        <w:ind w:left="5401" w:hanging="360"/>
      </w:pPr>
      <w:rPr>
        <w:rFonts w:hint="default" w:ascii="Symbol" w:hAnsi="Symbol"/>
      </w:rPr>
    </w:lvl>
    <w:lvl w:ilvl="7" w:tplc="04090003" w:tentative="1">
      <w:start w:val="1"/>
      <w:numFmt w:val="bullet"/>
      <w:lvlText w:val="o"/>
      <w:lvlJc w:val="left"/>
      <w:pPr>
        <w:ind w:left="6121" w:hanging="360"/>
      </w:pPr>
      <w:rPr>
        <w:rFonts w:hint="default" w:ascii="Courier New" w:hAnsi="Courier New" w:cs="Courier New"/>
      </w:rPr>
    </w:lvl>
    <w:lvl w:ilvl="8" w:tplc="04090005" w:tentative="1">
      <w:start w:val="1"/>
      <w:numFmt w:val="bullet"/>
      <w:lvlText w:val=""/>
      <w:lvlJc w:val="left"/>
      <w:pPr>
        <w:ind w:left="6841" w:hanging="360"/>
      </w:pPr>
      <w:rPr>
        <w:rFonts w:hint="default" w:ascii="Wingdings" w:hAnsi="Wingdings"/>
      </w:rPr>
    </w:lvl>
  </w:abstractNum>
  <w:abstractNum w:abstractNumId="29" w15:restartNumberingAfterBreak="0">
    <w:nsid w:val="5A8735F8"/>
    <w:multiLevelType w:val="hybridMultilevel"/>
    <w:tmpl w:val="67F48EB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E830948"/>
    <w:multiLevelType w:val="multilevel"/>
    <w:tmpl w:val="6A70C96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627902FE"/>
    <w:multiLevelType w:val="hybridMultilevel"/>
    <w:tmpl w:val="D82CA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8B3147"/>
    <w:multiLevelType w:val="hybridMultilevel"/>
    <w:tmpl w:val="478670F2"/>
    <w:lvl w:ilvl="0" w:tplc="F84E7EBA">
      <w:start w:val="1"/>
      <w:numFmt w:val="bullet"/>
      <w:lvlText w:val="•"/>
      <w:lvlJc w:val="left"/>
      <w:pPr>
        <w:ind w:left="1080" w:hanging="72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45F5462"/>
    <w:multiLevelType w:val="hybridMultilevel"/>
    <w:tmpl w:val="F75AC616"/>
    <w:lvl w:ilvl="0" w:tplc="B98CDD6C">
      <w:start w:val="8"/>
      <w:numFmt w:val="bullet"/>
      <w:lvlText w:val="-"/>
      <w:lvlJc w:val="left"/>
      <w:pPr>
        <w:ind w:left="720" w:hanging="360"/>
      </w:pPr>
      <w:rPr>
        <w:rFonts w:hint="default" w:ascii="Arial" w:hAnsi="Arial" w:eastAsia="MS Mincho"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34" w15:restartNumberingAfterBreak="0">
    <w:nsid w:val="695B222F"/>
    <w:multiLevelType w:val="hybridMultilevel"/>
    <w:tmpl w:val="BA62CA9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5" w15:restartNumberingAfterBreak="0">
    <w:nsid w:val="6B2B15B5"/>
    <w:multiLevelType w:val="hybridMultilevel"/>
    <w:tmpl w:val="F6604E74"/>
    <w:lvl w:ilvl="0" w:tplc="147EA18E">
      <w:start w:val="1"/>
      <w:numFmt w:val="bullet"/>
      <w:lvlText w:val="•"/>
      <w:lvlJc w:val="left"/>
      <w:pPr>
        <w:tabs>
          <w:tab w:val="num" w:pos="720"/>
        </w:tabs>
        <w:ind w:left="720" w:hanging="360"/>
      </w:pPr>
      <w:rPr>
        <w:rFonts w:hint="default" w:ascii="Arial" w:hAnsi="Arial"/>
      </w:rPr>
    </w:lvl>
    <w:lvl w:ilvl="1" w:tplc="734CC9FE">
      <w:start w:val="1"/>
      <w:numFmt w:val="bullet"/>
      <w:lvlText w:val="•"/>
      <w:lvlJc w:val="left"/>
      <w:pPr>
        <w:tabs>
          <w:tab w:val="num" w:pos="1440"/>
        </w:tabs>
        <w:ind w:left="1440" w:hanging="360"/>
      </w:pPr>
      <w:rPr>
        <w:rFonts w:hint="default" w:ascii="Arial" w:hAnsi="Arial"/>
      </w:rPr>
    </w:lvl>
    <w:lvl w:ilvl="2" w:tplc="9E20E37E" w:tentative="1">
      <w:start w:val="1"/>
      <w:numFmt w:val="bullet"/>
      <w:lvlText w:val="•"/>
      <w:lvlJc w:val="left"/>
      <w:pPr>
        <w:tabs>
          <w:tab w:val="num" w:pos="2160"/>
        </w:tabs>
        <w:ind w:left="2160" w:hanging="360"/>
      </w:pPr>
      <w:rPr>
        <w:rFonts w:hint="default" w:ascii="Arial" w:hAnsi="Arial"/>
      </w:rPr>
    </w:lvl>
    <w:lvl w:ilvl="3" w:tplc="0890EE72" w:tentative="1">
      <w:start w:val="1"/>
      <w:numFmt w:val="bullet"/>
      <w:lvlText w:val="•"/>
      <w:lvlJc w:val="left"/>
      <w:pPr>
        <w:tabs>
          <w:tab w:val="num" w:pos="2880"/>
        </w:tabs>
        <w:ind w:left="2880" w:hanging="360"/>
      </w:pPr>
      <w:rPr>
        <w:rFonts w:hint="default" w:ascii="Arial" w:hAnsi="Arial"/>
      </w:rPr>
    </w:lvl>
    <w:lvl w:ilvl="4" w:tplc="2DA8D972" w:tentative="1">
      <w:start w:val="1"/>
      <w:numFmt w:val="bullet"/>
      <w:lvlText w:val="•"/>
      <w:lvlJc w:val="left"/>
      <w:pPr>
        <w:tabs>
          <w:tab w:val="num" w:pos="3600"/>
        </w:tabs>
        <w:ind w:left="3600" w:hanging="360"/>
      </w:pPr>
      <w:rPr>
        <w:rFonts w:hint="default" w:ascii="Arial" w:hAnsi="Arial"/>
      </w:rPr>
    </w:lvl>
    <w:lvl w:ilvl="5" w:tplc="74FECC6A" w:tentative="1">
      <w:start w:val="1"/>
      <w:numFmt w:val="bullet"/>
      <w:lvlText w:val="•"/>
      <w:lvlJc w:val="left"/>
      <w:pPr>
        <w:tabs>
          <w:tab w:val="num" w:pos="4320"/>
        </w:tabs>
        <w:ind w:left="4320" w:hanging="360"/>
      </w:pPr>
      <w:rPr>
        <w:rFonts w:hint="default" w:ascii="Arial" w:hAnsi="Arial"/>
      </w:rPr>
    </w:lvl>
    <w:lvl w:ilvl="6" w:tplc="9BD6D254" w:tentative="1">
      <w:start w:val="1"/>
      <w:numFmt w:val="bullet"/>
      <w:lvlText w:val="•"/>
      <w:lvlJc w:val="left"/>
      <w:pPr>
        <w:tabs>
          <w:tab w:val="num" w:pos="5040"/>
        </w:tabs>
        <w:ind w:left="5040" w:hanging="360"/>
      </w:pPr>
      <w:rPr>
        <w:rFonts w:hint="default" w:ascii="Arial" w:hAnsi="Arial"/>
      </w:rPr>
    </w:lvl>
    <w:lvl w:ilvl="7" w:tplc="7C265B82" w:tentative="1">
      <w:start w:val="1"/>
      <w:numFmt w:val="bullet"/>
      <w:lvlText w:val="•"/>
      <w:lvlJc w:val="left"/>
      <w:pPr>
        <w:tabs>
          <w:tab w:val="num" w:pos="5760"/>
        </w:tabs>
        <w:ind w:left="5760" w:hanging="360"/>
      </w:pPr>
      <w:rPr>
        <w:rFonts w:hint="default" w:ascii="Arial" w:hAnsi="Arial"/>
      </w:rPr>
    </w:lvl>
    <w:lvl w:ilvl="8" w:tplc="F00CAE62" w:tentative="1">
      <w:start w:val="1"/>
      <w:numFmt w:val="bullet"/>
      <w:lvlText w:val="•"/>
      <w:lvlJc w:val="left"/>
      <w:pPr>
        <w:tabs>
          <w:tab w:val="num" w:pos="6480"/>
        </w:tabs>
        <w:ind w:left="6480" w:hanging="360"/>
      </w:pPr>
      <w:rPr>
        <w:rFonts w:hint="default" w:ascii="Arial" w:hAnsi="Arial"/>
      </w:rPr>
    </w:lvl>
  </w:abstractNum>
  <w:abstractNum w:abstractNumId="36" w15:restartNumberingAfterBreak="0">
    <w:nsid w:val="71244ECB"/>
    <w:multiLevelType w:val="hybridMultilevel"/>
    <w:tmpl w:val="25848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789133C4"/>
    <w:multiLevelType w:val="hybridMultilevel"/>
    <w:tmpl w:val="2BE0B9D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8CD2AB9"/>
    <w:multiLevelType w:val="hybridMultilevel"/>
    <w:tmpl w:val="895059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795D43FC"/>
    <w:multiLevelType w:val="multilevel"/>
    <w:tmpl w:val="CEF078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7C0C2F15"/>
    <w:multiLevelType w:val="hybridMultilevel"/>
    <w:tmpl w:val="DD3E1DBE"/>
    <w:lvl w:ilvl="0" w:tplc="04090005">
      <w:start w:val="1"/>
      <w:numFmt w:val="bullet"/>
      <w:lvlText w:val=""/>
      <w:lvlJc w:val="left"/>
      <w:pPr>
        <w:ind w:left="1800" w:hanging="360"/>
      </w:pPr>
      <w:rPr>
        <w:rFonts w:hint="default" w:ascii="Wingdings" w:hAnsi="Wingdings"/>
      </w:rPr>
    </w:lvl>
    <w:lvl w:ilvl="1" w:tplc="04090003">
      <w:start w:val="1"/>
      <w:numFmt w:val="bullet"/>
      <w:lvlText w:val="o"/>
      <w:lvlJc w:val="left"/>
      <w:pPr>
        <w:ind w:left="2520" w:hanging="360"/>
      </w:pPr>
      <w:rPr>
        <w:rFonts w:hint="default" w:ascii="Courier New" w:hAnsi="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rPr>
    </w:lvl>
    <w:lvl w:ilvl="8" w:tplc="04090005" w:tentative="1">
      <w:start w:val="1"/>
      <w:numFmt w:val="bullet"/>
      <w:lvlText w:val=""/>
      <w:lvlJc w:val="left"/>
      <w:pPr>
        <w:ind w:left="7560" w:hanging="360"/>
      </w:pPr>
      <w:rPr>
        <w:rFonts w:hint="default" w:ascii="Wingdings" w:hAnsi="Wingdings"/>
      </w:rPr>
    </w:lvl>
  </w:abstractNum>
  <w:abstractNum w:abstractNumId="41" w15:restartNumberingAfterBreak="0">
    <w:nsid w:val="7DF8733F"/>
    <w:multiLevelType w:val="hybridMultilevel"/>
    <w:tmpl w:val="12A48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182EE5"/>
    <w:multiLevelType w:val="hybridMultilevel"/>
    <w:tmpl w:val="378E8D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F570382"/>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8783994">
    <w:abstractNumId w:val="26"/>
  </w:num>
  <w:num w:numId="2" w16cid:durableId="1522477921">
    <w:abstractNumId w:val="5"/>
  </w:num>
  <w:num w:numId="3" w16cid:durableId="1083918876">
    <w:abstractNumId w:val="17"/>
  </w:num>
  <w:num w:numId="4" w16cid:durableId="1890652525">
    <w:abstractNumId w:val="33"/>
  </w:num>
  <w:num w:numId="5" w16cid:durableId="1210269071">
    <w:abstractNumId w:val="12"/>
  </w:num>
  <w:num w:numId="6" w16cid:durableId="615407595">
    <w:abstractNumId w:val="0"/>
  </w:num>
  <w:num w:numId="7" w16cid:durableId="401175372">
    <w:abstractNumId w:val="25"/>
  </w:num>
  <w:num w:numId="8" w16cid:durableId="1875846469">
    <w:abstractNumId w:val="41"/>
  </w:num>
  <w:num w:numId="9" w16cid:durableId="929119113">
    <w:abstractNumId w:val="31"/>
  </w:num>
  <w:num w:numId="10" w16cid:durableId="821507668">
    <w:abstractNumId w:val="40"/>
  </w:num>
  <w:num w:numId="11" w16cid:durableId="59913523">
    <w:abstractNumId w:val="36"/>
  </w:num>
  <w:num w:numId="12" w16cid:durableId="1427112642">
    <w:abstractNumId w:val="38"/>
  </w:num>
  <w:num w:numId="13" w16cid:durableId="1620143610">
    <w:abstractNumId w:val="20"/>
  </w:num>
  <w:num w:numId="14" w16cid:durableId="1292595848">
    <w:abstractNumId w:val="23"/>
  </w:num>
  <w:num w:numId="15" w16cid:durableId="592015338">
    <w:abstractNumId w:val="11"/>
  </w:num>
  <w:num w:numId="16" w16cid:durableId="2040467066">
    <w:abstractNumId w:val="2"/>
  </w:num>
  <w:num w:numId="17" w16cid:durableId="1073117386">
    <w:abstractNumId w:val="6"/>
  </w:num>
  <w:num w:numId="18" w16cid:durableId="8117482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964446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1089956">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811936">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0554670">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90614177">
    <w:abstractNumId w:val="28"/>
  </w:num>
  <w:num w:numId="24" w16cid:durableId="911504754">
    <w:abstractNumId w:val="19"/>
  </w:num>
  <w:num w:numId="25" w16cid:durableId="206262086">
    <w:abstractNumId w:val="37"/>
  </w:num>
  <w:num w:numId="26" w16cid:durableId="999700151">
    <w:abstractNumId w:val="29"/>
  </w:num>
  <w:num w:numId="27" w16cid:durableId="594942446">
    <w:abstractNumId w:val="18"/>
  </w:num>
  <w:num w:numId="28" w16cid:durableId="1780366618">
    <w:abstractNumId w:val="3"/>
  </w:num>
  <w:num w:numId="29" w16cid:durableId="1362320480">
    <w:abstractNumId w:val="35"/>
  </w:num>
  <w:num w:numId="30" w16cid:durableId="1776438900">
    <w:abstractNumId w:val="16"/>
  </w:num>
  <w:num w:numId="31" w16cid:durableId="259678138">
    <w:abstractNumId w:val="1"/>
  </w:num>
  <w:num w:numId="32" w16cid:durableId="1010763851">
    <w:abstractNumId w:val="7"/>
  </w:num>
  <w:num w:numId="33" w16cid:durableId="1503549810">
    <w:abstractNumId w:val="43"/>
  </w:num>
  <w:num w:numId="34" w16cid:durableId="221600071">
    <w:abstractNumId w:val="10"/>
  </w:num>
  <w:num w:numId="35" w16cid:durableId="520819980">
    <w:abstractNumId w:val="15"/>
  </w:num>
  <w:num w:numId="36" w16cid:durableId="416482336">
    <w:abstractNumId w:val="34"/>
  </w:num>
  <w:num w:numId="37" w16cid:durableId="286668598">
    <w:abstractNumId w:val="27"/>
  </w:num>
  <w:num w:numId="38" w16cid:durableId="1946114287">
    <w:abstractNumId w:val="8"/>
  </w:num>
  <w:num w:numId="39" w16cid:durableId="218133012">
    <w:abstractNumId w:val="4"/>
  </w:num>
  <w:num w:numId="40" w16cid:durableId="768046129">
    <w:abstractNumId w:val="32"/>
  </w:num>
  <w:num w:numId="41" w16cid:durableId="1484152779">
    <w:abstractNumId w:val="21"/>
  </w:num>
  <w:num w:numId="42" w16cid:durableId="1854802037">
    <w:abstractNumId w:val="13"/>
  </w:num>
  <w:num w:numId="43" w16cid:durableId="652830380">
    <w:abstractNumId w:val="42"/>
  </w:num>
  <w:num w:numId="44" w16cid:durableId="514615700">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trackRevisions w:val="false"/>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D0"/>
    <w:rsid w:val="00015E58"/>
    <w:rsid w:val="00017D61"/>
    <w:rsid w:val="0002644B"/>
    <w:rsid w:val="00041EEC"/>
    <w:rsid w:val="00064E70"/>
    <w:rsid w:val="000F51D0"/>
    <w:rsid w:val="00145003"/>
    <w:rsid w:val="00145621"/>
    <w:rsid w:val="00156BF4"/>
    <w:rsid w:val="00160C52"/>
    <w:rsid w:val="001807CE"/>
    <w:rsid w:val="001A5E5A"/>
    <w:rsid w:val="001A60C0"/>
    <w:rsid w:val="001B498A"/>
    <w:rsid w:val="001B617A"/>
    <w:rsid w:val="001E3F87"/>
    <w:rsid w:val="001E7AB5"/>
    <w:rsid w:val="001F5B17"/>
    <w:rsid w:val="00211F7C"/>
    <w:rsid w:val="00215321"/>
    <w:rsid w:val="00267D06"/>
    <w:rsid w:val="00284A2D"/>
    <w:rsid w:val="002A2E44"/>
    <w:rsid w:val="002B1162"/>
    <w:rsid w:val="002C6099"/>
    <w:rsid w:val="002F2DE0"/>
    <w:rsid w:val="003160C3"/>
    <w:rsid w:val="003218D0"/>
    <w:rsid w:val="003224BA"/>
    <w:rsid w:val="00322CBF"/>
    <w:rsid w:val="003273BA"/>
    <w:rsid w:val="00332700"/>
    <w:rsid w:val="003416FD"/>
    <w:rsid w:val="00342235"/>
    <w:rsid w:val="00354281"/>
    <w:rsid w:val="0035505B"/>
    <w:rsid w:val="00365A72"/>
    <w:rsid w:val="0037206A"/>
    <w:rsid w:val="003764C5"/>
    <w:rsid w:val="00385F82"/>
    <w:rsid w:val="003953AE"/>
    <w:rsid w:val="003B51BE"/>
    <w:rsid w:val="003B6AC5"/>
    <w:rsid w:val="003B795A"/>
    <w:rsid w:val="003C1D29"/>
    <w:rsid w:val="003D4E2E"/>
    <w:rsid w:val="003F0172"/>
    <w:rsid w:val="003F5D0B"/>
    <w:rsid w:val="0041480A"/>
    <w:rsid w:val="004532E8"/>
    <w:rsid w:val="00455B13"/>
    <w:rsid w:val="004718CA"/>
    <w:rsid w:val="00472186"/>
    <w:rsid w:val="00476C7E"/>
    <w:rsid w:val="00481C8B"/>
    <w:rsid w:val="004A124F"/>
    <w:rsid w:val="004B05E0"/>
    <w:rsid w:val="004B1468"/>
    <w:rsid w:val="004D1B75"/>
    <w:rsid w:val="004E73F6"/>
    <w:rsid w:val="00533563"/>
    <w:rsid w:val="0055462F"/>
    <w:rsid w:val="00556542"/>
    <w:rsid w:val="0057010F"/>
    <w:rsid w:val="005A0109"/>
    <w:rsid w:val="005A0F72"/>
    <w:rsid w:val="005A15EC"/>
    <w:rsid w:val="005A34BA"/>
    <w:rsid w:val="005B54DC"/>
    <w:rsid w:val="005F0682"/>
    <w:rsid w:val="00625B3C"/>
    <w:rsid w:val="00632534"/>
    <w:rsid w:val="00634AD6"/>
    <w:rsid w:val="00641235"/>
    <w:rsid w:val="00645171"/>
    <w:rsid w:val="00662750"/>
    <w:rsid w:val="006723CF"/>
    <w:rsid w:val="00674859"/>
    <w:rsid w:val="006748B8"/>
    <w:rsid w:val="00685084"/>
    <w:rsid w:val="006873BC"/>
    <w:rsid w:val="00696692"/>
    <w:rsid w:val="00697A0D"/>
    <w:rsid w:val="006A5407"/>
    <w:rsid w:val="006B3C1C"/>
    <w:rsid w:val="006C2151"/>
    <w:rsid w:val="006D6B92"/>
    <w:rsid w:val="007067B4"/>
    <w:rsid w:val="007126BB"/>
    <w:rsid w:val="007239D5"/>
    <w:rsid w:val="00751EB3"/>
    <w:rsid w:val="00753087"/>
    <w:rsid w:val="00753F00"/>
    <w:rsid w:val="00764CD1"/>
    <w:rsid w:val="00775794"/>
    <w:rsid w:val="00777CEC"/>
    <w:rsid w:val="007958BF"/>
    <w:rsid w:val="007A6E94"/>
    <w:rsid w:val="007B3B4D"/>
    <w:rsid w:val="007B650E"/>
    <w:rsid w:val="007B6A50"/>
    <w:rsid w:val="007C1709"/>
    <w:rsid w:val="007C6298"/>
    <w:rsid w:val="007C7C56"/>
    <w:rsid w:val="007D2F37"/>
    <w:rsid w:val="007D53A1"/>
    <w:rsid w:val="0081063D"/>
    <w:rsid w:val="00815D56"/>
    <w:rsid w:val="00817AFE"/>
    <w:rsid w:val="00843B7A"/>
    <w:rsid w:val="00845C85"/>
    <w:rsid w:val="00857BC8"/>
    <w:rsid w:val="00864742"/>
    <w:rsid w:val="00874E96"/>
    <w:rsid w:val="00892790"/>
    <w:rsid w:val="008A38FA"/>
    <w:rsid w:val="008A4314"/>
    <w:rsid w:val="008C19E0"/>
    <w:rsid w:val="008D7490"/>
    <w:rsid w:val="008E69AD"/>
    <w:rsid w:val="00905CBC"/>
    <w:rsid w:val="009259BA"/>
    <w:rsid w:val="00926EA4"/>
    <w:rsid w:val="00972725"/>
    <w:rsid w:val="009961FB"/>
    <w:rsid w:val="009B3914"/>
    <w:rsid w:val="009B5C3C"/>
    <w:rsid w:val="009C279A"/>
    <w:rsid w:val="009C382C"/>
    <w:rsid w:val="009D2C75"/>
    <w:rsid w:val="009F4C2F"/>
    <w:rsid w:val="00A10D82"/>
    <w:rsid w:val="00A11872"/>
    <w:rsid w:val="00A2180E"/>
    <w:rsid w:val="00A35B2E"/>
    <w:rsid w:val="00A5224F"/>
    <w:rsid w:val="00A5573E"/>
    <w:rsid w:val="00A67379"/>
    <w:rsid w:val="00A81846"/>
    <w:rsid w:val="00A82132"/>
    <w:rsid w:val="00A83616"/>
    <w:rsid w:val="00A96C41"/>
    <w:rsid w:val="00AA29F1"/>
    <w:rsid w:val="00AB1021"/>
    <w:rsid w:val="00AC5C26"/>
    <w:rsid w:val="00AD2AD7"/>
    <w:rsid w:val="00B03B00"/>
    <w:rsid w:val="00B24EDF"/>
    <w:rsid w:val="00B27258"/>
    <w:rsid w:val="00B43EE5"/>
    <w:rsid w:val="00B53E26"/>
    <w:rsid w:val="00B6174D"/>
    <w:rsid w:val="00B65105"/>
    <w:rsid w:val="00B8289E"/>
    <w:rsid w:val="00BB3C48"/>
    <w:rsid w:val="00BB55A6"/>
    <w:rsid w:val="00BC1CC5"/>
    <w:rsid w:val="00BD152C"/>
    <w:rsid w:val="00BD20AD"/>
    <w:rsid w:val="00BD6471"/>
    <w:rsid w:val="00C01AA3"/>
    <w:rsid w:val="00C1135B"/>
    <w:rsid w:val="00C13040"/>
    <w:rsid w:val="00C36528"/>
    <w:rsid w:val="00C60A1E"/>
    <w:rsid w:val="00C71288"/>
    <w:rsid w:val="00C80CCA"/>
    <w:rsid w:val="00C910F2"/>
    <w:rsid w:val="00CB15B6"/>
    <w:rsid w:val="00CD7918"/>
    <w:rsid w:val="00CE4E28"/>
    <w:rsid w:val="00CF4C57"/>
    <w:rsid w:val="00D056B8"/>
    <w:rsid w:val="00D100AC"/>
    <w:rsid w:val="00D15A41"/>
    <w:rsid w:val="00D173D4"/>
    <w:rsid w:val="00D40E10"/>
    <w:rsid w:val="00D479DD"/>
    <w:rsid w:val="00D47C68"/>
    <w:rsid w:val="00D742CF"/>
    <w:rsid w:val="00D838C7"/>
    <w:rsid w:val="00D85B91"/>
    <w:rsid w:val="00D93433"/>
    <w:rsid w:val="00DA5F24"/>
    <w:rsid w:val="00DB19DA"/>
    <w:rsid w:val="00DE29BF"/>
    <w:rsid w:val="00DE3956"/>
    <w:rsid w:val="00DF65ED"/>
    <w:rsid w:val="00DF73AB"/>
    <w:rsid w:val="00E26594"/>
    <w:rsid w:val="00E34D4F"/>
    <w:rsid w:val="00E522FE"/>
    <w:rsid w:val="00E60668"/>
    <w:rsid w:val="00E66CB9"/>
    <w:rsid w:val="00E70AC5"/>
    <w:rsid w:val="00E70F54"/>
    <w:rsid w:val="00E84589"/>
    <w:rsid w:val="00E86010"/>
    <w:rsid w:val="00F042CF"/>
    <w:rsid w:val="00F10F2F"/>
    <w:rsid w:val="00F232E0"/>
    <w:rsid w:val="00F34983"/>
    <w:rsid w:val="00F50B8A"/>
    <w:rsid w:val="00F545C9"/>
    <w:rsid w:val="00F60FC9"/>
    <w:rsid w:val="00F66296"/>
    <w:rsid w:val="00F81E08"/>
    <w:rsid w:val="00F8203E"/>
    <w:rsid w:val="00F944B5"/>
    <w:rsid w:val="00FB3CB4"/>
    <w:rsid w:val="00FC6480"/>
    <w:rsid w:val="00FE27F2"/>
    <w:rsid w:val="00FE73E5"/>
    <w:rsid w:val="00FE7DC7"/>
    <w:rsid w:val="3948772E"/>
    <w:rsid w:val="496DB30A"/>
    <w:rsid w:val="52DF5732"/>
    <w:rsid w:val="52E56803"/>
    <w:rsid w:val="6FB9DB31"/>
    <w:rsid w:val="7C5380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419255"/>
  <w14:defaultImageDpi w14:val="300"/>
  <w15:docId w15:val="{A048C9AB-7A84-4F9B-9710-22DF334D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218D0"/>
    <w:pPr>
      <w:keepNext/>
      <w:outlineLvl w:val="0"/>
    </w:pPr>
    <w:rPr>
      <w:rFonts w:ascii="Arial" w:hAnsi="Arial" w:eastAsia="Times New Roman" w:cs="Arial"/>
      <w:i/>
      <w:sz w:val="22"/>
      <w:szCs w:val="22"/>
      <w:u w:val="single"/>
    </w:rPr>
  </w:style>
  <w:style w:type="paragraph" w:styleId="Heading2">
    <w:name w:val="heading 2"/>
    <w:basedOn w:val="Normal"/>
    <w:next w:val="Normal"/>
    <w:link w:val="Heading2Char"/>
    <w:uiPriority w:val="9"/>
    <w:semiHidden/>
    <w:unhideWhenUsed/>
    <w:qFormat/>
    <w:rsid w:val="00E8458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qFormat/>
    <w:rsid w:val="003218D0"/>
    <w:pPr>
      <w:keepNext/>
      <w:pBdr>
        <w:top w:val="single" w:color="auto" w:sz="4" w:space="1"/>
        <w:left w:val="single" w:color="auto" w:sz="4" w:space="4"/>
        <w:bottom w:val="single" w:color="auto" w:sz="4" w:space="1"/>
        <w:right w:val="single" w:color="auto" w:sz="4" w:space="4"/>
      </w:pBdr>
      <w:shd w:val="clear" w:color="auto" w:fill="E6E6E6"/>
      <w:outlineLvl w:val="2"/>
    </w:pPr>
    <w:rPr>
      <w:rFonts w:ascii="Arial" w:hAnsi="Arial" w:eastAsia="Times New Roman" w:cs="Arial"/>
      <w:b/>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218D0"/>
    <w:pPr>
      <w:tabs>
        <w:tab w:val="center" w:pos="4320"/>
        <w:tab w:val="right" w:pos="8640"/>
      </w:tabs>
    </w:pPr>
  </w:style>
  <w:style w:type="character" w:styleId="HeaderChar" w:customStyle="1">
    <w:name w:val="Header Char"/>
    <w:basedOn w:val="DefaultParagraphFont"/>
    <w:link w:val="Header"/>
    <w:uiPriority w:val="99"/>
    <w:rsid w:val="003218D0"/>
    <w:rPr>
      <w:lang w:val="fr-FR"/>
    </w:rPr>
  </w:style>
  <w:style w:type="paragraph" w:styleId="Footer">
    <w:name w:val="footer"/>
    <w:basedOn w:val="Normal"/>
    <w:link w:val="FooterChar"/>
    <w:uiPriority w:val="99"/>
    <w:unhideWhenUsed/>
    <w:rsid w:val="003218D0"/>
    <w:pPr>
      <w:tabs>
        <w:tab w:val="center" w:pos="4320"/>
        <w:tab w:val="right" w:pos="8640"/>
      </w:tabs>
    </w:pPr>
  </w:style>
  <w:style w:type="character" w:styleId="FooterChar" w:customStyle="1">
    <w:name w:val="Footer Char"/>
    <w:basedOn w:val="DefaultParagraphFont"/>
    <w:link w:val="Footer"/>
    <w:uiPriority w:val="99"/>
    <w:rsid w:val="003218D0"/>
    <w:rPr>
      <w:lang w:val="fr-FR"/>
    </w:rPr>
  </w:style>
  <w:style w:type="character" w:styleId="Heading1Char" w:customStyle="1">
    <w:name w:val="Heading 1 Char"/>
    <w:basedOn w:val="DefaultParagraphFont"/>
    <w:link w:val="Heading1"/>
    <w:rsid w:val="003218D0"/>
    <w:rPr>
      <w:rFonts w:ascii="Arial" w:hAnsi="Arial" w:eastAsia="Times New Roman" w:cs="Arial"/>
      <w:i/>
      <w:sz w:val="22"/>
      <w:szCs w:val="22"/>
      <w:u w:val="single"/>
    </w:rPr>
  </w:style>
  <w:style w:type="character" w:styleId="Heading3Char" w:customStyle="1">
    <w:name w:val="Heading 3 Char"/>
    <w:basedOn w:val="DefaultParagraphFont"/>
    <w:link w:val="Heading3"/>
    <w:rsid w:val="003218D0"/>
    <w:rPr>
      <w:rFonts w:ascii="Arial" w:hAnsi="Arial" w:eastAsia="Times New Roman" w:cs="Arial"/>
      <w:b/>
      <w:sz w:val="22"/>
      <w:szCs w:val="22"/>
      <w:shd w:val="clear" w:color="auto" w:fill="E6E6E6"/>
    </w:rPr>
  </w:style>
  <w:style w:type="character" w:styleId="Hyperlink">
    <w:name w:val="Hyperlink"/>
    <w:uiPriority w:val="99"/>
    <w:rsid w:val="003218D0"/>
    <w:rPr>
      <w:color w:val="0000FF"/>
      <w:u w:val="single"/>
    </w:rPr>
  </w:style>
  <w:style w:type="paragraph" w:styleId="BodyText2">
    <w:name w:val="Body Text 2"/>
    <w:basedOn w:val="Normal"/>
    <w:link w:val="BodyText2Char"/>
    <w:semiHidden/>
    <w:rsid w:val="003218D0"/>
    <w:pPr>
      <w:pBdr>
        <w:top w:val="single" w:color="auto" w:sz="4" w:space="1"/>
        <w:left w:val="single" w:color="auto" w:sz="4" w:space="4"/>
        <w:bottom w:val="single" w:color="auto" w:sz="4" w:space="1"/>
        <w:right w:val="single" w:color="auto" w:sz="4" w:space="4"/>
      </w:pBdr>
      <w:shd w:val="clear" w:color="auto" w:fill="E6E6E6"/>
    </w:pPr>
    <w:rPr>
      <w:rFonts w:ascii="Arial" w:hAnsi="Arial" w:eastAsia="Times New Roman" w:cs="Arial"/>
      <w:sz w:val="20"/>
      <w:szCs w:val="22"/>
    </w:rPr>
  </w:style>
  <w:style w:type="character" w:styleId="BodyText2Char" w:customStyle="1">
    <w:name w:val="Body Text 2 Char"/>
    <w:basedOn w:val="DefaultParagraphFont"/>
    <w:link w:val="BodyText2"/>
    <w:semiHidden/>
    <w:rsid w:val="003218D0"/>
    <w:rPr>
      <w:rFonts w:ascii="Arial" w:hAnsi="Arial" w:eastAsia="Times New Roman" w:cs="Arial"/>
      <w:sz w:val="20"/>
      <w:szCs w:val="22"/>
      <w:shd w:val="clear" w:color="auto" w:fill="E6E6E6"/>
    </w:rPr>
  </w:style>
  <w:style w:type="paragraph" w:styleId="ListParagraph">
    <w:name w:val="List Paragraph"/>
    <w:aliases w:val="Bullet List,FooterText,List Paragraph1,Colorful List Accent 1"/>
    <w:basedOn w:val="Normal"/>
    <w:link w:val="ListParagraphChar"/>
    <w:uiPriority w:val="34"/>
    <w:qFormat/>
    <w:rsid w:val="004B05E0"/>
    <w:pPr>
      <w:spacing w:after="200" w:line="276" w:lineRule="auto"/>
      <w:ind w:left="720"/>
      <w:contextualSpacing/>
    </w:pPr>
    <w:rPr>
      <w:rFonts w:eastAsiaTheme="minorHAnsi"/>
      <w:sz w:val="22"/>
      <w:szCs w:val="22"/>
    </w:rPr>
  </w:style>
  <w:style w:type="table" w:styleId="TableGrid">
    <w:name w:val="Table Grid"/>
    <w:basedOn w:val="TableNormal"/>
    <w:uiPriority w:val="59"/>
    <w:rsid w:val="001A5E5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stParagraphChar" w:customStyle="1">
    <w:name w:val="List Paragraph Char"/>
    <w:aliases w:val="Bullet List Char,FooterText Char,List Paragraph1 Char,Colorful List Accent 1 Char"/>
    <w:link w:val="ListParagraph"/>
    <w:uiPriority w:val="34"/>
    <w:locked/>
    <w:rsid w:val="001807CE"/>
    <w:rPr>
      <w:rFonts w:eastAsiaTheme="minorHAnsi"/>
      <w:sz w:val="22"/>
      <w:szCs w:val="22"/>
    </w:rPr>
  </w:style>
  <w:style w:type="character" w:styleId="CommentReference">
    <w:name w:val="annotation reference"/>
    <w:basedOn w:val="DefaultParagraphFont"/>
    <w:semiHidden/>
    <w:unhideWhenUsed/>
    <w:rsid w:val="001807CE"/>
    <w:rPr>
      <w:sz w:val="16"/>
      <w:szCs w:val="16"/>
    </w:rPr>
  </w:style>
  <w:style w:type="paragraph" w:styleId="CommentText">
    <w:name w:val="annotation text"/>
    <w:basedOn w:val="Normal"/>
    <w:link w:val="CommentTextChar"/>
    <w:semiHidden/>
    <w:unhideWhenUsed/>
    <w:rsid w:val="001807CE"/>
    <w:rPr>
      <w:rFonts w:ascii="Cambria" w:hAnsi="Cambria" w:eastAsia="Cambria" w:cs="Times New Roman"/>
      <w:sz w:val="20"/>
      <w:szCs w:val="20"/>
    </w:rPr>
  </w:style>
  <w:style w:type="character" w:styleId="CommentTextChar" w:customStyle="1">
    <w:name w:val="Comment Text Char"/>
    <w:basedOn w:val="DefaultParagraphFont"/>
    <w:link w:val="CommentText"/>
    <w:semiHidden/>
    <w:rsid w:val="001807CE"/>
    <w:rPr>
      <w:rFonts w:ascii="Cambria" w:hAnsi="Cambria" w:eastAsia="Cambria" w:cs="Times New Roman"/>
      <w:sz w:val="20"/>
      <w:szCs w:val="20"/>
    </w:rPr>
  </w:style>
  <w:style w:type="paragraph" w:styleId="Description" w:customStyle="1">
    <w:name w:val="Description"/>
    <w:basedOn w:val="Normal"/>
    <w:qFormat/>
    <w:rsid w:val="001807CE"/>
    <w:pPr>
      <w:widowControl w:val="0"/>
      <w:autoSpaceDE w:val="0"/>
      <w:autoSpaceDN w:val="0"/>
      <w:adjustRightInd w:val="0"/>
      <w:ind w:left="709"/>
    </w:pPr>
    <w:rPr>
      <w:rFonts w:ascii="Calibri" w:hAnsi="Calibri" w:eastAsia="Times New Roman" w:cs="Times New Roman"/>
      <w:sz w:val="22"/>
      <w:szCs w:val="22"/>
    </w:rPr>
  </w:style>
  <w:style w:type="paragraph" w:styleId="BalloonText">
    <w:name w:val="Balloon Text"/>
    <w:basedOn w:val="Normal"/>
    <w:link w:val="BalloonTextChar"/>
    <w:uiPriority w:val="99"/>
    <w:semiHidden/>
    <w:unhideWhenUsed/>
    <w:rsid w:val="001807CE"/>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1807CE"/>
    <w:rPr>
      <w:rFonts w:ascii="Lucida Grande" w:hAnsi="Lucida Grande" w:cs="Lucida Grande"/>
      <w:sz w:val="18"/>
      <w:szCs w:val="18"/>
      <w:lang w:val="fr-FR"/>
    </w:rPr>
  </w:style>
  <w:style w:type="paragraph" w:styleId="ListNumber">
    <w:name w:val="List Number"/>
    <w:basedOn w:val="Normal"/>
    <w:rsid w:val="001807CE"/>
    <w:pPr>
      <w:numPr>
        <w:numId w:val="6"/>
      </w:numPr>
      <w:jc w:val="both"/>
    </w:pPr>
    <w:rPr>
      <w:rFonts w:ascii="Times New Roman" w:hAnsi="Times New Roman" w:eastAsia="Times New Roman" w:cs="Times New Roman"/>
    </w:rPr>
  </w:style>
  <w:style w:type="character" w:styleId="Heading2Char" w:customStyle="1">
    <w:name w:val="Heading 2 Char"/>
    <w:basedOn w:val="DefaultParagraphFont"/>
    <w:link w:val="Heading2"/>
    <w:uiPriority w:val="9"/>
    <w:semiHidden/>
    <w:rsid w:val="00E84589"/>
    <w:rPr>
      <w:rFonts w:asciiTheme="majorHAnsi" w:hAnsiTheme="majorHAnsi" w:eastAsiaTheme="majorEastAsia" w:cstheme="majorBidi"/>
      <w:b/>
      <w:bCs/>
      <w:color w:val="4F81BD" w:themeColor="accent1"/>
      <w:sz w:val="26"/>
      <w:szCs w:val="26"/>
      <w:lang w:val="fr-FR"/>
    </w:rPr>
  </w:style>
  <w:style w:type="paragraph" w:styleId="FootnoteText">
    <w:name w:val="footnote text"/>
    <w:basedOn w:val="Normal"/>
    <w:link w:val="FootnoteTextChar"/>
    <w:uiPriority w:val="99"/>
    <w:unhideWhenUsed/>
    <w:rsid w:val="00E84589"/>
  </w:style>
  <w:style w:type="character" w:styleId="FootnoteTextChar" w:customStyle="1">
    <w:name w:val="Footnote Text Char"/>
    <w:basedOn w:val="DefaultParagraphFont"/>
    <w:link w:val="FootnoteText"/>
    <w:uiPriority w:val="99"/>
    <w:rsid w:val="00E84589"/>
    <w:rPr>
      <w:lang w:val="fr-FR"/>
    </w:rPr>
  </w:style>
  <w:style w:type="character" w:styleId="FootnoteReference">
    <w:name w:val="footnote reference"/>
    <w:basedOn w:val="DefaultParagraphFont"/>
    <w:uiPriority w:val="99"/>
    <w:unhideWhenUsed/>
    <w:rsid w:val="00E84589"/>
    <w:rPr>
      <w:vertAlign w:val="superscript"/>
    </w:rPr>
  </w:style>
  <w:style w:type="paragraph" w:styleId="Default" w:customStyle="1">
    <w:name w:val="Default"/>
    <w:rsid w:val="006723CF"/>
    <w:pPr>
      <w:autoSpaceDE w:val="0"/>
      <w:autoSpaceDN w:val="0"/>
      <w:adjustRightInd w:val="0"/>
    </w:pPr>
    <w:rPr>
      <w:rFonts w:ascii="Times New Roman" w:hAnsi="Times New Roman" w:cs="Times New Roman" w:eastAsiaTheme="minorHAnsi"/>
      <w:color w:val="000000"/>
    </w:rPr>
  </w:style>
  <w:style w:type="character" w:styleId="UnresolvedMention">
    <w:name w:val="Unresolved Mention"/>
    <w:basedOn w:val="DefaultParagraphFont"/>
    <w:uiPriority w:val="99"/>
    <w:semiHidden/>
    <w:unhideWhenUsed/>
    <w:rsid w:val="00481C8B"/>
    <w:rPr>
      <w:color w:val="605E5C"/>
      <w:shd w:val="clear" w:color="auto" w:fill="E1DFDD"/>
    </w:rPr>
  </w:style>
  <w:style w:type="character" w:styleId="apple-converted-space" w:customStyle="1">
    <w:name w:val="apple-converted-space"/>
    <w:basedOn w:val="DefaultParagraphFont"/>
    <w:rsid w:val="00674859"/>
  </w:style>
  <w:style w:type="table" w:styleId="1" w:customStyle="1">
    <w:name w:val="1"/>
    <w:basedOn w:val="TableNormal"/>
    <w:rsid w:val="00751EB3"/>
    <w:rPr>
      <w:rFonts w:ascii="Times New Roman" w:hAnsi="Times New Roman" w:eastAsia="Times New Roman" w:cs="Times New Roman"/>
      <w:lang w:eastAsia="en-GB"/>
    </w:rPr>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547091">
      <w:bodyDiv w:val="1"/>
      <w:marLeft w:val="0"/>
      <w:marRight w:val="0"/>
      <w:marTop w:val="0"/>
      <w:marBottom w:val="0"/>
      <w:divBdr>
        <w:top w:val="none" w:sz="0" w:space="0" w:color="auto"/>
        <w:left w:val="none" w:sz="0" w:space="0" w:color="auto"/>
        <w:bottom w:val="none" w:sz="0" w:space="0" w:color="auto"/>
        <w:right w:val="none" w:sz="0" w:space="0" w:color="auto"/>
      </w:divBdr>
    </w:div>
    <w:div w:id="571696576">
      <w:bodyDiv w:val="1"/>
      <w:marLeft w:val="0"/>
      <w:marRight w:val="0"/>
      <w:marTop w:val="0"/>
      <w:marBottom w:val="0"/>
      <w:divBdr>
        <w:top w:val="none" w:sz="0" w:space="0" w:color="auto"/>
        <w:left w:val="none" w:sz="0" w:space="0" w:color="auto"/>
        <w:bottom w:val="none" w:sz="0" w:space="0" w:color="auto"/>
        <w:right w:val="none" w:sz="0" w:space="0" w:color="auto"/>
      </w:divBdr>
    </w:div>
    <w:div w:id="706175282">
      <w:bodyDiv w:val="1"/>
      <w:marLeft w:val="0"/>
      <w:marRight w:val="0"/>
      <w:marTop w:val="0"/>
      <w:marBottom w:val="0"/>
      <w:divBdr>
        <w:top w:val="none" w:sz="0" w:space="0" w:color="auto"/>
        <w:left w:val="none" w:sz="0" w:space="0" w:color="auto"/>
        <w:bottom w:val="none" w:sz="0" w:space="0" w:color="auto"/>
        <w:right w:val="none" w:sz="0" w:space="0" w:color="auto"/>
      </w:divBdr>
    </w:div>
    <w:div w:id="1954944080">
      <w:bodyDiv w:val="1"/>
      <w:marLeft w:val="0"/>
      <w:marRight w:val="0"/>
      <w:marTop w:val="0"/>
      <w:marBottom w:val="0"/>
      <w:divBdr>
        <w:top w:val="none" w:sz="0" w:space="0" w:color="auto"/>
        <w:left w:val="none" w:sz="0" w:space="0" w:color="auto"/>
        <w:bottom w:val="none" w:sz="0" w:space="0" w:color="auto"/>
        <w:right w:val="none" w:sz="0" w:space="0" w:color="auto"/>
      </w:divBdr>
    </w:div>
    <w:div w:id="2100250180">
      <w:bodyDiv w:val="1"/>
      <w:marLeft w:val="0"/>
      <w:marRight w:val="0"/>
      <w:marTop w:val="0"/>
      <w:marBottom w:val="0"/>
      <w:divBdr>
        <w:top w:val="none" w:sz="0" w:space="0" w:color="auto"/>
        <w:left w:val="none" w:sz="0" w:space="0" w:color="auto"/>
        <w:bottom w:val="none" w:sz="0" w:space="0" w:color="auto"/>
        <w:right w:val="none" w:sz="0" w:space="0" w:color="auto"/>
      </w:divBdr>
      <w:divsChild>
        <w:div w:id="286854278">
          <w:marLeft w:val="994"/>
          <w:marRight w:val="0"/>
          <w:marTop w:val="86"/>
          <w:marBottom w:val="0"/>
          <w:divBdr>
            <w:top w:val="none" w:sz="0" w:space="0" w:color="auto"/>
            <w:left w:val="none" w:sz="0" w:space="0" w:color="auto"/>
            <w:bottom w:val="none" w:sz="0" w:space="0" w:color="auto"/>
            <w:right w:val="none" w:sz="0" w:space="0" w:color="auto"/>
          </w:divBdr>
        </w:div>
        <w:div w:id="194463114">
          <w:marLeft w:val="994"/>
          <w:marRight w:val="0"/>
          <w:marTop w:val="86"/>
          <w:marBottom w:val="0"/>
          <w:divBdr>
            <w:top w:val="none" w:sz="0" w:space="0" w:color="auto"/>
            <w:left w:val="none" w:sz="0" w:space="0" w:color="auto"/>
            <w:bottom w:val="none" w:sz="0" w:space="0" w:color="auto"/>
            <w:right w:val="none" w:sz="0" w:space="0" w:color="auto"/>
          </w:divBdr>
        </w:div>
        <w:div w:id="1925721618">
          <w:marLeft w:val="994"/>
          <w:marRight w:val="0"/>
          <w:marTop w:val="86"/>
          <w:marBottom w:val="0"/>
          <w:divBdr>
            <w:top w:val="none" w:sz="0" w:space="0" w:color="auto"/>
            <w:left w:val="none" w:sz="0" w:space="0" w:color="auto"/>
            <w:bottom w:val="none" w:sz="0" w:space="0" w:color="auto"/>
            <w:right w:val="none" w:sz="0" w:space="0" w:color="auto"/>
          </w:divBdr>
        </w:div>
        <w:div w:id="1818767349">
          <w:marLeft w:val="994"/>
          <w:marRight w:val="0"/>
          <w:marTop w:val="86"/>
          <w:marBottom w:val="0"/>
          <w:divBdr>
            <w:top w:val="none" w:sz="0" w:space="0" w:color="auto"/>
            <w:left w:val="none" w:sz="0" w:space="0" w:color="auto"/>
            <w:bottom w:val="none" w:sz="0" w:space="0" w:color="auto"/>
            <w:right w:val="none" w:sz="0" w:space="0" w:color="auto"/>
          </w:divBdr>
        </w:div>
        <w:div w:id="1595091343">
          <w:marLeft w:val="994"/>
          <w:marRight w:val="0"/>
          <w:marTop w:val="86"/>
          <w:marBottom w:val="0"/>
          <w:divBdr>
            <w:top w:val="none" w:sz="0" w:space="0" w:color="auto"/>
            <w:left w:val="none" w:sz="0" w:space="0" w:color="auto"/>
            <w:bottom w:val="none" w:sz="0" w:space="0" w:color="auto"/>
            <w:right w:val="none" w:sz="0" w:space="0" w:color="auto"/>
          </w:divBdr>
        </w:div>
        <w:div w:id="1916739709">
          <w:marLeft w:val="994"/>
          <w:marRight w:val="0"/>
          <w:marTop w:val="86"/>
          <w:marBottom w:val="0"/>
          <w:divBdr>
            <w:top w:val="none" w:sz="0" w:space="0" w:color="auto"/>
            <w:left w:val="none" w:sz="0" w:space="0" w:color="auto"/>
            <w:bottom w:val="none" w:sz="0" w:space="0" w:color="auto"/>
            <w:right w:val="none" w:sz="0" w:space="0" w:color="auto"/>
          </w:divBdr>
        </w:div>
        <w:div w:id="658727443">
          <w:marLeft w:val="994"/>
          <w:marRight w:val="0"/>
          <w:marTop w:val="0"/>
          <w:marBottom w:val="0"/>
          <w:divBdr>
            <w:top w:val="none" w:sz="0" w:space="0" w:color="auto"/>
            <w:left w:val="none" w:sz="0" w:space="0" w:color="auto"/>
            <w:bottom w:val="none" w:sz="0" w:space="0" w:color="auto"/>
            <w:right w:val="none" w:sz="0" w:space="0" w:color="auto"/>
          </w:divBdr>
        </w:div>
        <w:div w:id="1550872440">
          <w:marLeft w:val="994"/>
          <w:marRight w:val="0"/>
          <w:marTop w:val="0"/>
          <w:marBottom w:val="0"/>
          <w:divBdr>
            <w:top w:val="none" w:sz="0" w:space="0" w:color="auto"/>
            <w:left w:val="none" w:sz="0" w:space="0" w:color="auto"/>
            <w:bottom w:val="none" w:sz="0" w:space="0" w:color="auto"/>
            <w:right w:val="none" w:sz="0" w:space="0" w:color="auto"/>
          </w:divBdr>
        </w:div>
        <w:div w:id="100927388">
          <w:marLeft w:val="99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communityengagementhub.org/resource/ifrc-cea-guide/" TargetMode="Externa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https://communityengagementhub.org/resource/movement-wide-commitments-for-cea/"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yperlink" Target="https://communityengagementhub.org/" TargetMode="External" Id="rId15" /><Relationship Type="http://schemas.openxmlformats.org/officeDocument/2006/relationships/endnotes" Target="endnote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communityengagementhub.org/resource/cea-toolkit/" TargetMode="External" Id="rId14" /></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s://www.ifrc.org/document/principles-rules-humanitarian-assistance" TargetMode="External"/><Relationship Id="rId1" Type="http://schemas.openxmlformats.org/officeDocument/2006/relationships/hyperlink" Target="https://www.ifrc.org/document/code-conduct-international-red-cross-and-red-crescent-movement-and-ngos-disaster-relie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TURABIAN.XSL" StyleName="Turabia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9BFCD3F5-252F-49CB-8047-EA2CFEF313B8}"/>
</file>

<file path=customXml/itemProps2.xml><?xml version="1.0" encoding="utf-8"?>
<ds:datastoreItem xmlns:ds="http://schemas.openxmlformats.org/officeDocument/2006/customXml" ds:itemID="{7C26BA49-6C4A-4B34-BAD8-45DED727896C}">
  <ds:schemaRefs>
    <ds:schemaRef ds:uri="http://schemas.microsoft.com/sharepoint/v3/contenttype/forms"/>
  </ds:schemaRefs>
</ds:datastoreItem>
</file>

<file path=customXml/itemProps3.xml><?xml version="1.0" encoding="utf-8"?>
<ds:datastoreItem xmlns:ds="http://schemas.openxmlformats.org/officeDocument/2006/customXml" ds:itemID="{23BA637F-3E3B-4CBE-B034-AA0B0FAFEAA0}">
  <ds:schemaRefs>
    <ds:schemaRef ds:uri="http://schemas.openxmlformats.org/officeDocument/2006/bibliography"/>
  </ds:schemaRefs>
</ds:datastoreItem>
</file>

<file path=customXml/itemProps4.xml><?xml version="1.0" encoding="utf-8"?>
<ds:datastoreItem xmlns:ds="http://schemas.openxmlformats.org/officeDocument/2006/customXml" ds:itemID="{0AA5F7A6-B030-438B-9010-2D6A8DABED0D}">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Sharon Reader</dc:creator>
  <keywords/>
  <dc:description/>
  <lastModifiedBy>Yves Stephane Ngaleu</lastModifiedBy>
  <revision>5</revision>
  <lastPrinted>2016-12-05T10:16:00.0000000Z</lastPrinted>
  <dcterms:created xsi:type="dcterms:W3CDTF">2024-12-18T11:04:00.0000000Z</dcterms:created>
  <dcterms:modified xsi:type="dcterms:W3CDTF">2025-01-09T09:27:28.7027712Z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560a281f,71d425cf,60d38767</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2023-07-07T15:47:15Z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81562edb-c7d4-462c-b28c-9f3346fb4938</vt:lpwstr>
  </property>
  <property fmtid="{D5CDD505-2E9C-101B-9397-08002B2CF9AE}" pid="12" name="MSIP_Label_caf3f7fd-5cd4-4287-9002-aceb9af13c42_ContentBits">
    <vt:lpwstr>2</vt:lpwstr>
  </property>
  <property fmtid="{D5CDD505-2E9C-101B-9397-08002B2CF9AE}" pid="13" name="MediaServiceImageTags">
    <vt:lpwstr/>
  </property>
</Properties>
</file>