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7974" w14:textId="7890CFBF" w:rsidR="00161628" w:rsidRPr="00161628" w:rsidRDefault="00161628" w:rsidP="00161628">
      <w:pPr>
        <w:jc w:val="center"/>
        <w:rPr>
          <w:rFonts w:ascii="Montserrat" w:hAnsi="Montserrat" w:cs="Segoe UI"/>
          <w:b/>
          <w:bCs/>
          <w:u w:val="single"/>
          <w:lang w:val="fr-FR"/>
        </w:rPr>
      </w:pPr>
      <w:r w:rsidRPr="00161628">
        <w:rPr>
          <w:rFonts w:ascii="Montserrat" w:hAnsi="Montserrat" w:cs="Segoe UI"/>
          <w:b/>
          <w:bCs/>
          <w:u w:val="single"/>
          <w:lang w:val="fr-FR"/>
        </w:rPr>
        <w:t>Termes de référence:</w:t>
      </w:r>
    </w:p>
    <w:p w14:paraId="528C3B65" w14:textId="667ED4AF" w:rsidR="00161628" w:rsidRPr="00161628" w:rsidRDefault="00161628" w:rsidP="00161628">
      <w:pPr>
        <w:jc w:val="center"/>
        <w:rPr>
          <w:rFonts w:ascii="Montserrat" w:hAnsi="Montserrat" w:cs="Segoe UI"/>
          <w:b/>
          <w:bCs/>
          <w:lang w:val="fr-FR"/>
        </w:rPr>
      </w:pPr>
      <w:r w:rsidRPr="00161628">
        <w:rPr>
          <w:rFonts w:ascii="Montserrat" w:hAnsi="Montserrat" w:cs="Segoe UI"/>
          <w:b/>
          <w:bCs/>
          <w:lang w:val="fr-FR"/>
        </w:rPr>
        <w:t>Groupe de travail sur l'engagement et la responsabilité communautaires pour l'Afrique</w:t>
      </w:r>
    </w:p>
    <w:p w14:paraId="4224424E" w14:textId="68CF6CE1" w:rsidR="00161628" w:rsidRPr="00161628" w:rsidRDefault="00161628" w:rsidP="00161628">
      <w:pPr>
        <w:rPr>
          <w:rFonts w:ascii="Montserrat" w:hAnsi="Montserrat" w:cs="Segoe UI"/>
          <w:b/>
          <w:bCs/>
          <w:sz w:val="18"/>
          <w:szCs w:val="18"/>
          <w:lang w:val="fr-FR"/>
        </w:rPr>
      </w:pPr>
      <w:r w:rsidRPr="00161628">
        <w:rPr>
          <w:rFonts w:ascii="Montserrat" w:hAnsi="Montserrat" w:cs="Segoe UI"/>
          <w:b/>
          <w:bCs/>
          <w:lang w:val="fr-FR"/>
        </w:rPr>
        <w:t>Dernière mise à jour : Septembre 2022</w:t>
      </w:r>
    </w:p>
    <w:p w14:paraId="143BBE11" w14:textId="7DB0D46C" w:rsidR="008C1DF9" w:rsidRPr="00630A25" w:rsidRDefault="005C37D8" w:rsidP="00630A25">
      <w:pPr>
        <w:pStyle w:val="Heading2"/>
        <w:jc w:val="both"/>
        <w:rPr>
          <w:rFonts w:ascii="Open Sans" w:hAnsi="Open Sans" w:cs="Open Sans"/>
          <w:b/>
          <w:bCs/>
          <w:sz w:val="20"/>
          <w:szCs w:val="20"/>
          <w:lang w:val="fr-FR"/>
        </w:rPr>
      </w:pPr>
      <w:r w:rsidRPr="00B2282D">
        <w:rPr>
          <w:rFonts w:ascii="Open Sans" w:hAnsi="Open Sans" w:cs="Open Sans"/>
          <w:b/>
          <w:bCs/>
          <w:sz w:val="20"/>
          <w:szCs w:val="20"/>
          <w:lang w:val="fr-FR"/>
        </w:rPr>
        <w:t xml:space="preserve">CONTEXTE: </w:t>
      </w:r>
      <w:r w:rsidR="008C5168" w:rsidRPr="00B2282D">
        <w:rPr>
          <w:rFonts w:ascii="Open Sans" w:hAnsi="Open Sans" w:cs="Open Sans"/>
          <w:b/>
          <w:bCs/>
          <w:sz w:val="20"/>
          <w:szCs w:val="20"/>
          <w:lang w:val="fr-FR"/>
        </w:rPr>
        <w:t xml:space="preserve"> </w:t>
      </w:r>
    </w:p>
    <w:p w14:paraId="6C9990BF" w14:textId="77777777" w:rsidR="003F40F1" w:rsidRDefault="003F40F1" w:rsidP="00630A25">
      <w:pPr>
        <w:spacing w:after="120"/>
        <w:rPr>
          <w:lang w:val="fr-FR"/>
        </w:rPr>
      </w:pPr>
    </w:p>
    <w:p w14:paraId="4995DF52" w14:textId="4DAC01E9" w:rsidR="00EA057B" w:rsidRDefault="00B2282D" w:rsidP="00630A25">
      <w:pPr>
        <w:spacing w:after="120"/>
        <w:rPr>
          <w:lang w:val="fr-FR"/>
        </w:rPr>
      </w:pPr>
      <w:r w:rsidRPr="00EA057B">
        <w:rPr>
          <w:lang w:val="fr-FR"/>
        </w:rPr>
        <w:t xml:space="preserve">En 2019, les engagements à l'échelle du </w:t>
      </w:r>
      <w:hyperlink r:id="rId11" w:history="1">
        <w:r w:rsidRPr="006D687A">
          <w:rPr>
            <w:rStyle w:val="Hyperlink"/>
            <w:lang w:val="fr-FR"/>
          </w:rPr>
          <w:t>Mouvement sur l'engagement communautaire et la responsabilité</w:t>
        </w:r>
      </w:hyperlink>
      <w:r w:rsidRPr="00EA057B">
        <w:rPr>
          <w:lang w:val="fr-FR"/>
        </w:rPr>
        <w:t xml:space="preserve"> ont été adoptés à l'unanimité lors du Conseil des Délégués, décrivant les actions que tous les membres du Mouvement de la Croix-Rouge et du Croissant-Rouge sont tenus de privilégier et d'intégrer dans leur travail. Il y a 7 engagements au total:</w:t>
      </w:r>
    </w:p>
    <w:p w14:paraId="6DA358CE" w14:textId="28D59942" w:rsidR="00EA057B" w:rsidRPr="00EA057B" w:rsidRDefault="00B2282D" w:rsidP="00630A25">
      <w:pPr>
        <w:pStyle w:val="ListParagraph"/>
        <w:numPr>
          <w:ilvl w:val="0"/>
          <w:numId w:val="12"/>
        </w:numPr>
        <w:spacing w:after="0" w:line="240" w:lineRule="auto"/>
        <w:ind w:left="714" w:hanging="357"/>
        <w:rPr>
          <w:rFonts w:ascii="Segoe UI" w:hAnsi="Segoe UI" w:cs="Segoe UI"/>
          <w:sz w:val="20"/>
          <w:szCs w:val="20"/>
        </w:rPr>
      </w:pPr>
      <w:r w:rsidRPr="00EA057B">
        <w:rPr>
          <w:lang w:val="fr-FR"/>
        </w:rPr>
        <w:t>Toutes les composantes du Mouvement s'engagent à intégrer l'engagement et la responsabilité communautaires dans leurs stratégies, politiques et procédures.</w:t>
      </w:r>
    </w:p>
    <w:p w14:paraId="4D6844F8" w14:textId="12A6ECC2" w:rsidR="00EA057B" w:rsidRPr="00EA057B" w:rsidRDefault="00B2282D" w:rsidP="00630A25">
      <w:pPr>
        <w:pStyle w:val="ListParagraph"/>
        <w:numPr>
          <w:ilvl w:val="0"/>
          <w:numId w:val="12"/>
        </w:numPr>
        <w:spacing w:after="0" w:line="240" w:lineRule="auto"/>
        <w:ind w:left="714" w:hanging="357"/>
        <w:rPr>
          <w:rFonts w:ascii="Segoe UI" w:hAnsi="Segoe UI" w:cs="Segoe UI"/>
          <w:sz w:val="20"/>
          <w:szCs w:val="20"/>
          <w:lang w:val="fr-FR"/>
        </w:rPr>
      </w:pPr>
      <w:r w:rsidRPr="00EA057B">
        <w:rPr>
          <w:lang w:val="fr-FR"/>
        </w:rPr>
        <w:t>Toutes les composantes du Mouvement s'engagent à effectuer régulièrement une analyse des contextes dans lesquels elles travaillent afin de mieux comprendre et de mieux prendre en compte la diversité des besoins, des vulnérabilités et des capacités des personnes et des communautés qu'elles cherchent à servir et à aider.</w:t>
      </w:r>
    </w:p>
    <w:p w14:paraId="317FD855" w14:textId="27416405" w:rsidR="00EA057B" w:rsidRPr="00630A25" w:rsidRDefault="00B2282D" w:rsidP="00630A25">
      <w:pPr>
        <w:pStyle w:val="ListParagraph"/>
        <w:numPr>
          <w:ilvl w:val="0"/>
          <w:numId w:val="12"/>
        </w:numPr>
        <w:spacing w:after="0" w:line="240" w:lineRule="auto"/>
        <w:ind w:left="714" w:hanging="357"/>
        <w:rPr>
          <w:rFonts w:ascii="Segoe UI" w:hAnsi="Segoe UI" w:cs="Segoe UI"/>
          <w:sz w:val="20"/>
          <w:szCs w:val="20"/>
          <w:lang w:val="fr-FR"/>
        </w:rPr>
      </w:pPr>
      <w:r w:rsidRPr="00EA057B">
        <w:rPr>
          <w:lang w:val="fr-FR"/>
        </w:rPr>
        <w:t>Toutes les composantes du Mouvement s'engagent à faciliter une plus grande participation des populations et des communautés locales, y compris des volontaires des Sociétés nationales, et à les aider à appliquer leurs connaissances, leurs compétences et leurs capacités pour trouver des solutions appropriées et efficaces à leurs problèmes.</w:t>
      </w:r>
    </w:p>
    <w:p w14:paraId="484E31CB" w14:textId="38E43E93" w:rsidR="00EA057B" w:rsidRPr="00630A25" w:rsidRDefault="00B2282D" w:rsidP="00630A25">
      <w:pPr>
        <w:pStyle w:val="ListParagraph"/>
        <w:numPr>
          <w:ilvl w:val="0"/>
          <w:numId w:val="12"/>
        </w:numPr>
        <w:spacing w:after="0" w:line="240" w:lineRule="auto"/>
        <w:ind w:left="714" w:hanging="357"/>
        <w:rPr>
          <w:rFonts w:ascii="Segoe UI" w:hAnsi="Segoe UI" w:cs="Segoe UI"/>
          <w:sz w:val="20"/>
          <w:szCs w:val="20"/>
          <w:lang w:val="fr-FR"/>
        </w:rPr>
      </w:pPr>
      <w:r w:rsidRPr="00EA057B">
        <w:rPr>
          <w:lang w:val="fr-FR"/>
        </w:rPr>
        <w:t>Toutes les composantes du Mouvement s'engagent à écouter systématiquement les réactions des personnes et des communautés que nous voulons servir, à y répondre et à y donner suite.</w:t>
      </w:r>
    </w:p>
    <w:p w14:paraId="5C00B94F" w14:textId="77777777" w:rsidR="00630A25" w:rsidRPr="00630A25" w:rsidRDefault="00B2282D" w:rsidP="00B07004">
      <w:pPr>
        <w:pStyle w:val="ListParagraph"/>
        <w:numPr>
          <w:ilvl w:val="0"/>
          <w:numId w:val="12"/>
        </w:numPr>
        <w:spacing w:after="0" w:line="240" w:lineRule="auto"/>
        <w:ind w:left="714" w:hanging="357"/>
        <w:rPr>
          <w:rFonts w:ascii="Segoe UI" w:hAnsi="Segoe UI" w:cs="Segoe UI"/>
          <w:sz w:val="20"/>
          <w:szCs w:val="20"/>
          <w:lang w:val="fr-FR"/>
        </w:rPr>
      </w:pPr>
      <w:r w:rsidRPr="00630A25">
        <w:rPr>
          <w:lang w:val="fr-FR"/>
        </w:rPr>
        <w:t>Toutes les composantes du Mouvement s'engagent à faire preuve d'une plus grande transparence dans leurs communications et leurs relations avec les personnes et les communautés qu'elles visent à servir. 6.</w:t>
      </w:r>
    </w:p>
    <w:p w14:paraId="26F7E556" w14:textId="0F25D189" w:rsidR="00630A25" w:rsidRPr="00630A25" w:rsidRDefault="00B2282D" w:rsidP="00594EF5">
      <w:pPr>
        <w:pStyle w:val="ListParagraph"/>
        <w:numPr>
          <w:ilvl w:val="0"/>
          <w:numId w:val="12"/>
        </w:numPr>
        <w:spacing w:after="0" w:line="240" w:lineRule="auto"/>
        <w:ind w:left="714" w:hanging="357"/>
        <w:rPr>
          <w:rFonts w:ascii="Segoe UI" w:hAnsi="Segoe UI" w:cs="Segoe UI"/>
          <w:sz w:val="20"/>
          <w:szCs w:val="20"/>
        </w:rPr>
      </w:pPr>
      <w:r w:rsidRPr="00630A25">
        <w:rPr>
          <w:lang w:val="fr-FR"/>
        </w:rPr>
        <w:t>Toutes les composantes du Mouvement s'engagent à renforcer les connaissances, les aptitudes et les compétences en matière d'engagement et de responsabilité communautaires à tous les niveaux, et à intégrer systématiquement cet apprentissage dans leur travail.</w:t>
      </w:r>
    </w:p>
    <w:p w14:paraId="0EE04AA7" w14:textId="3BEDA5A1" w:rsidR="00630A25" w:rsidRPr="00630A25" w:rsidRDefault="00B2282D" w:rsidP="00594EF5">
      <w:pPr>
        <w:pStyle w:val="ListParagraph"/>
        <w:numPr>
          <w:ilvl w:val="0"/>
          <w:numId w:val="12"/>
        </w:numPr>
        <w:spacing w:after="0" w:line="240" w:lineRule="auto"/>
        <w:ind w:left="714" w:hanging="357"/>
        <w:rPr>
          <w:rFonts w:ascii="Segoe UI" w:hAnsi="Segoe UI" w:cs="Segoe UI"/>
          <w:sz w:val="20"/>
          <w:szCs w:val="20"/>
          <w:lang w:val="fr-FR"/>
        </w:rPr>
      </w:pPr>
      <w:r w:rsidRPr="00630A25">
        <w:rPr>
          <w:lang w:val="fr-FR"/>
        </w:rPr>
        <w:t>Toutes les composantes du Mouvement s'engagent à coordonner leurs approches de l'engagement et de la responsabilité communautaires lorsqu'elles travaillent dans le même contexte, y compris avec les partenaires extérieurs concernés, afin d'accroître la cohérence et l'homogénéité, d'éviter les doubles emplois et d'améliorer l'efficacité et l'efficience.</w:t>
      </w:r>
      <w:r w:rsidRPr="00630A25">
        <w:rPr>
          <w:lang w:val="fr-FR"/>
        </w:rPr>
        <w:br/>
      </w:r>
    </w:p>
    <w:p w14:paraId="5B165821" w14:textId="1263DB08" w:rsidR="00306547" w:rsidRDefault="0031620B" w:rsidP="00306547">
      <w:pPr>
        <w:rPr>
          <w:lang w:val="fr-FR"/>
        </w:rPr>
      </w:pPr>
      <w:r w:rsidRPr="00306547">
        <w:rPr>
          <w:lang w:val="fr-FR"/>
        </w:rPr>
        <w:t xml:space="preserve">En 2020, la </w:t>
      </w:r>
      <w:hyperlink r:id="rId12" w:history="1">
        <w:r w:rsidRPr="00306547">
          <w:rPr>
            <w:rStyle w:val="Hyperlink"/>
            <w:lang w:val="fr-FR"/>
          </w:rPr>
          <w:t>stratégie du CEA pour l'Afrique 2020-2023</w:t>
        </w:r>
      </w:hyperlink>
      <w:r w:rsidRPr="00306547">
        <w:rPr>
          <w:lang w:val="fr-FR"/>
        </w:rPr>
        <w:t xml:space="preserve"> a été lancée après une recherche approfondie menée avec les partenaires du Mouvement dans toute la région. La recherche a porté sur ce que le personnel considérait comme des facteurs favorables à l'intégration de l'engagement communautaire et de la responsabilité, et sur les obstacles qui nous empêchaient de l'institutionnaliser davantage. La stratégie met en évidence 5 changements stratégiques clés que nous voulons réaliser en Afrique:</w:t>
      </w:r>
      <w:r w:rsidRPr="00306547">
        <w:rPr>
          <w:lang w:val="fr-FR"/>
        </w:rPr>
        <w:br/>
      </w:r>
    </w:p>
    <w:p w14:paraId="4ED28116" w14:textId="77777777" w:rsidR="00306547" w:rsidRPr="00306547" w:rsidRDefault="00E9390F" w:rsidP="00306547">
      <w:pPr>
        <w:pStyle w:val="ListParagraph"/>
        <w:numPr>
          <w:ilvl w:val="0"/>
          <w:numId w:val="15"/>
        </w:numPr>
        <w:rPr>
          <w:rFonts w:ascii="Segoe UI" w:hAnsi="Segoe UI" w:cs="Segoe UI"/>
          <w:sz w:val="20"/>
          <w:szCs w:val="20"/>
        </w:rPr>
      </w:pPr>
      <w:r w:rsidRPr="00306547">
        <w:rPr>
          <w:lang w:val="fr-FR"/>
        </w:rPr>
        <w:t>Renforcer la compréhension et la capacité à mettre en œuvre l'engagement et la responsabilité communautaires.</w:t>
      </w:r>
    </w:p>
    <w:p w14:paraId="22C65E2D" w14:textId="77777777" w:rsidR="00306547" w:rsidRPr="00306547" w:rsidRDefault="00E9390F" w:rsidP="00306547">
      <w:pPr>
        <w:pStyle w:val="ListParagraph"/>
        <w:numPr>
          <w:ilvl w:val="0"/>
          <w:numId w:val="15"/>
        </w:numPr>
        <w:rPr>
          <w:rFonts w:ascii="Segoe UI" w:hAnsi="Segoe UI" w:cs="Segoe UI"/>
          <w:sz w:val="20"/>
          <w:szCs w:val="20"/>
        </w:rPr>
      </w:pPr>
      <w:r w:rsidRPr="00306547">
        <w:rPr>
          <w:lang w:val="fr-FR"/>
        </w:rPr>
        <w:lastRenderedPageBreak/>
        <w:t>Intégrer l'engagement communautaire dans les méthodes de travail afin qu'il devienne une approche standard pour l'ensemble du personnel et des volontaires.</w:t>
      </w:r>
    </w:p>
    <w:p w14:paraId="5C23B76B" w14:textId="77777777" w:rsidR="00306547" w:rsidRPr="00306547" w:rsidRDefault="00E9390F" w:rsidP="00306547">
      <w:pPr>
        <w:pStyle w:val="ListParagraph"/>
        <w:numPr>
          <w:ilvl w:val="0"/>
          <w:numId w:val="15"/>
        </w:numPr>
        <w:rPr>
          <w:rFonts w:ascii="Segoe UI" w:hAnsi="Segoe UI" w:cs="Segoe UI"/>
          <w:sz w:val="20"/>
          <w:szCs w:val="20"/>
          <w:lang w:val="fr-FR"/>
        </w:rPr>
      </w:pPr>
      <w:r w:rsidRPr="00306547">
        <w:rPr>
          <w:lang w:val="fr-FR"/>
        </w:rPr>
        <w:t>Augmenter la documentation des succès et des leçons apprises pour améliorer la compréhension et l'appropriation de l'engagement communautaire.</w:t>
      </w:r>
    </w:p>
    <w:p w14:paraId="44967F06" w14:textId="77777777" w:rsidR="00306547" w:rsidRPr="00306547" w:rsidRDefault="00E9390F" w:rsidP="00306547">
      <w:pPr>
        <w:pStyle w:val="ListParagraph"/>
        <w:numPr>
          <w:ilvl w:val="0"/>
          <w:numId w:val="15"/>
        </w:numPr>
        <w:rPr>
          <w:rFonts w:ascii="Segoe UI" w:hAnsi="Segoe UI" w:cs="Segoe UI"/>
          <w:sz w:val="20"/>
          <w:szCs w:val="20"/>
          <w:lang w:val="fr-FR"/>
        </w:rPr>
      </w:pPr>
      <w:r w:rsidRPr="00306547">
        <w:rPr>
          <w:lang w:val="fr-FR"/>
        </w:rPr>
        <w:t>Accroître le soutien et les ressources de l'organisation pour institutionnaliser et mettre en œuvre l'engagement communautaire et la responsabilisation.</w:t>
      </w:r>
    </w:p>
    <w:p w14:paraId="026F2F40" w14:textId="7AAB1F34" w:rsidR="00D54011" w:rsidRPr="00306547" w:rsidRDefault="00E9390F" w:rsidP="00306547">
      <w:pPr>
        <w:pStyle w:val="ListParagraph"/>
        <w:numPr>
          <w:ilvl w:val="0"/>
          <w:numId w:val="15"/>
        </w:numPr>
        <w:rPr>
          <w:rFonts w:ascii="Segoe UI" w:hAnsi="Segoe UI" w:cs="Segoe UI"/>
          <w:sz w:val="20"/>
          <w:szCs w:val="20"/>
        </w:rPr>
      </w:pPr>
      <w:r w:rsidRPr="00306547">
        <w:rPr>
          <w:lang w:val="fr-FR"/>
        </w:rPr>
        <w:t>Promouvoir une culture de la responsabilité en interne parmi les membres du Mouvement et en externe avec les communautés et les partenaires.</w:t>
      </w:r>
    </w:p>
    <w:p w14:paraId="30A90BC4" w14:textId="5A235F5E" w:rsidR="00306547" w:rsidRPr="005F6BA1" w:rsidRDefault="005F6BA1" w:rsidP="005F6BA1">
      <w:pPr>
        <w:ind w:left="360"/>
        <w:rPr>
          <w:rFonts w:ascii="Segoe UI" w:hAnsi="Segoe UI" w:cs="Segoe UI"/>
          <w:sz w:val="20"/>
          <w:szCs w:val="20"/>
          <w:lang w:val="fr-FR"/>
        </w:rPr>
      </w:pPr>
      <w:r w:rsidRPr="005F6BA1">
        <w:rPr>
          <w:rFonts w:ascii="Segoe UI" w:hAnsi="Segoe UI" w:cs="Segoe UI"/>
          <w:sz w:val="20"/>
          <w:szCs w:val="20"/>
          <w:lang w:val="fr-FR"/>
        </w:rPr>
        <w:t>Un groupe de travail pour l'engagement et la responsabilité communautaires en Afrique contribuerait à encourager et à renforcer la coordination pour améliorer l'intégration des engagements à l'échelle du Mouvement et réaliser les cinq changements stratégiques clés pour l'Afrique. Les principaux objectifs du groupe de travail sont les suivants</w:t>
      </w:r>
      <w:r w:rsidRPr="005F6BA1">
        <w:rPr>
          <w:rFonts w:ascii="Segoe UI" w:hAnsi="Segoe UI" w:cs="Segoe UI"/>
          <w:sz w:val="20"/>
          <w:szCs w:val="20"/>
          <w:lang w:val="fr-FR"/>
        </w:rPr>
        <w:t>:</w:t>
      </w:r>
    </w:p>
    <w:p w14:paraId="2FA55915" w14:textId="77777777" w:rsidR="005F6BA1" w:rsidRPr="005F6BA1" w:rsidRDefault="005F6BA1" w:rsidP="005F6BA1">
      <w:pPr>
        <w:pStyle w:val="ListParagraph"/>
        <w:numPr>
          <w:ilvl w:val="0"/>
          <w:numId w:val="18"/>
        </w:numPr>
        <w:rPr>
          <w:rFonts w:ascii="Segoe UI" w:hAnsi="Segoe UI" w:cs="Segoe UI"/>
          <w:sz w:val="20"/>
          <w:szCs w:val="20"/>
        </w:rPr>
      </w:pPr>
      <w:r w:rsidRPr="005F6BA1">
        <w:rPr>
          <w:lang w:val="fr-FR"/>
        </w:rPr>
        <w:t xml:space="preserve">Discuter des progrès, des défis et des voies à suivre pour réaliser les 5 changements stratégiques clés de la stratégie pour l'Afrique. </w:t>
      </w:r>
    </w:p>
    <w:p w14:paraId="0D953FD8" w14:textId="77777777" w:rsidR="005F6BA1" w:rsidRPr="005F6BA1" w:rsidRDefault="005F6BA1" w:rsidP="005F6BA1">
      <w:pPr>
        <w:pStyle w:val="ListParagraph"/>
        <w:numPr>
          <w:ilvl w:val="0"/>
          <w:numId w:val="18"/>
        </w:numPr>
        <w:rPr>
          <w:rFonts w:ascii="Segoe UI" w:hAnsi="Segoe UI" w:cs="Segoe UI"/>
          <w:sz w:val="20"/>
          <w:szCs w:val="20"/>
        </w:rPr>
      </w:pPr>
      <w:r w:rsidRPr="005F6BA1">
        <w:rPr>
          <w:lang w:val="fr-FR"/>
        </w:rPr>
        <w:t>Présenter les meilleures pratiques, l'innovation, l'apprentissage et les preuves de notre travail.</w:t>
      </w:r>
    </w:p>
    <w:p w14:paraId="05CDF1F8" w14:textId="77777777" w:rsidR="00804B4B" w:rsidRPr="00804B4B" w:rsidRDefault="005F6BA1" w:rsidP="005F6BA1">
      <w:pPr>
        <w:pStyle w:val="ListParagraph"/>
        <w:numPr>
          <w:ilvl w:val="0"/>
          <w:numId w:val="18"/>
        </w:numPr>
        <w:rPr>
          <w:rFonts w:ascii="Segoe UI" w:hAnsi="Segoe UI" w:cs="Segoe UI"/>
          <w:sz w:val="20"/>
          <w:szCs w:val="20"/>
          <w:lang w:val="fr-FR"/>
        </w:rPr>
      </w:pPr>
      <w:r w:rsidRPr="005F6BA1">
        <w:rPr>
          <w:lang w:val="fr-FR"/>
        </w:rPr>
        <w:t>Permettre l'apprentissage par les pairs entre les partenaires du Mouvement</w:t>
      </w:r>
    </w:p>
    <w:p w14:paraId="2EA9FD72" w14:textId="77777777" w:rsidR="00804B4B" w:rsidRPr="00804B4B" w:rsidRDefault="005F6BA1" w:rsidP="005F6BA1">
      <w:pPr>
        <w:pStyle w:val="ListParagraph"/>
        <w:numPr>
          <w:ilvl w:val="0"/>
          <w:numId w:val="18"/>
        </w:numPr>
        <w:rPr>
          <w:rFonts w:ascii="Segoe UI" w:hAnsi="Segoe UI" w:cs="Segoe UI"/>
          <w:sz w:val="20"/>
          <w:szCs w:val="20"/>
        </w:rPr>
      </w:pPr>
      <w:r w:rsidRPr="005F6BA1">
        <w:rPr>
          <w:lang w:val="fr-FR"/>
        </w:rPr>
        <w:t xml:space="preserve">Partager des mises à jour sur les activités de l'ACE dans les opérations clés et les situations d'urgence en Afrique. </w:t>
      </w:r>
    </w:p>
    <w:p w14:paraId="3A191E32" w14:textId="77777777" w:rsidR="00804B4B" w:rsidRPr="00804B4B" w:rsidRDefault="005F6BA1" w:rsidP="005F6BA1">
      <w:pPr>
        <w:pStyle w:val="ListParagraph"/>
        <w:numPr>
          <w:ilvl w:val="0"/>
          <w:numId w:val="18"/>
        </w:numPr>
        <w:rPr>
          <w:rFonts w:ascii="Segoe UI" w:hAnsi="Segoe UI" w:cs="Segoe UI"/>
          <w:sz w:val="20"/>
          <w:szCs w:val="20"/>
          <w:lang w:val="fr-FR"/>
        </w:rPr>
      </w:pPr>
      <w:r w:rsidRPr="005F6BA1">
        <w:rPr>
          <w:lang w:val="fr-FR"/>
        </w:rPr>
        <w:t xml:space="preserve">Indiquer les nouveaux outils, conseils et matériels de formation disponibles. </w:t>
      </w:r>
    </w:p>
    <w:p w14:paraId="1677EA66" w14:textId="243E06CE" w:rsidR="00862B07" w:rsidRPr="00804B4B" w:rsidRDefault="005F6BA1" w:rsidP="005F6BA1">
      <w:pPr>
        <w:pStyle w:val="ListParagraph"/>
        <w:numPr>
          <w:ilvl w:val="0"/>
          <w:numId w:val="18"/>
        </w:numPr>
        <w:rPr>
          <w:rFonts w:ascii="Segoe UI" w:hAnsi="Segoe UI" w:cs="Segoe UI"/>
          <w:sz w:val="20"/>
          <w:szCs w:val="20"/>
          <w:lang w:val="fr-FR"/>
        </w:rPr>
      </w:pPr>
      <w:r w:rsidRPr="005F6BA1">
        <w:rPr>
          <w:lang w:val="fr-FR"/>
        </w:rPr>
        <w:t>Identifier les possibilités de collaboration entre les partenaires du Mouvement aux niveaux national et régional.</w:t>
      </w:r>
    </w:p>
    <w:p w14:paraId="0D1E78AF" w14:textId="2622245F" w:rsidR="00EF2DD0" w:rsidRPr="008F380E" w:rsidRDefault="00804B4B" w:rsidP="00A22324">
      <w:pPr>
        <w:pStyle w:val="Heading2"/>
        <w:jc w:val="both"/>
        <w:rPr>
          <w:rFonts w:ascii="Segoe UI" w:hAnsi="Segoe UI" w:cs="Segoe UI"/>
          <w:b/>
          <w:bCs/>
          <w:sz w:val="20"/>
          <w:szCs w:val="20"/>
          <w:lang w:val="fr-FR"/>
        </w:rPr>
      </w:pPr>
      <w:r w:rsidRPr="008F380E">
        <w:rPr>
          <w:rFonts w:ascii="Segoe UI" w:hAnsi="Segoe UI" w:cs="Segoe UI"/>
          <w:b/>
          <w:bCs/>
          <w:sz w:val="20"/>
          <w:szCs w:val="20"/>
          <w:lang w:val="fr-FR"/>
        </w:rPr>
        <w:t>tâches clés</w:t>
      </w:r>
      <w:r w:rsidR="00EF2DD0" w:rsidRPr="008F380E">
        <w:rPr>
          <w:rFonts w:ascii="Segoe UI" w:hAnsi="Segoe UI" w:cs="Segoe UI"/>
          <w:b/>
          <w:bCs/>
          <w:sz w:val="20"/>
          <w:szCs w:val="20"/>
          <w:lang w:val="fr-FR"/>
        </w:rPr>
        <w:t xml:space="preserve"> </w:t>
      </w:r>
    </w:p>
    <w:p w14:paraId="7414DB8C" w14:textId="77777777" w:rsidR="008F380E" w:rsidRPr="008F380E" w:rsidRDefault="008F380E" w:rsidP="008F380E">
      <w:pPr>
        <w:pStyle w:val="ListParagraph"/>
        <w:numPr>
          <w:ilvl w:val="0"/>
          <w:numId w:val="20"/>
        </w:numPr>
        <w:rPr>
          <w:rFonts w:ascii="Segoe UI" w:hAnsi="Segoe UI" w:cs="Segoe UI"/>
          <w:color w:val="000000" w:themeColor="text1"/>
          <w:sz w:val="20"/>
          <w:szCs w:val="20"/>
          <w:lang w:val="fr-FR"/>
        </w:rPr>
      </w:pPr>
      <w:r w:rsidRPr="008F380E">
        <w:rPr>
          <w:lang w:val="fr-FR"/>
        </w:rPr>
        <w:t>Réunir les SN, SNP, FICR et CICR intéressés par le renforcement de l'engagement et de la responsabilité communautaires dans la région afin d'améliorer la collaboration et la coordination des stratégies et des activités.</w:t>
      </w:r>
    </w:p>
    <w:p w14:paraId="0B35A153" w14:textId="77777777" w:rsidR="008F380E" w:rsidRPr="008F380E" w:rsidRDefault="008F380E" w:rsidP="008F380E">
      <w:pPr>
        <w:pStyle w:val="ListParagraph"/>
        <w:numPr>
          <w:ilvl w:val="0"/>
          <w:numId w:val="20"/>
        </w:numPr>
        <w:rPr>
          <w:rFonts w:ascii="Segoe UI" w:hAnsi="Segoe UI" w:cs="Segoe UI"/>
          <w:color w:val="000000" w:themeColor="text1"/>
          <w:sz w:val="20"/>
          <w:szCs w:val="20"/>
        </w:rPr>
      </w:pPr>
      <w:r w:rsidRPr="008F380E">
        <w:rPr>
          <w:lang w:val="fr-FR"/>
        </w:rPr>
        <w:t xml:space="preserve">Promouvoir les succès et les réalisations dans la mise en œuvre des engagements à l'échelle du Mouvement et des 5 changements stratégiques clés pour l'Afrique afin de favoriser l'apprentissage par les pairs et la documentation des meilleures pratiques. </w:t>
      </w:r>
    </w:p>
    <w:p w14:paraId="43CEC3BB" w14:textId="77777777" w:rsidR="008F380E" w:rsidRPr="008F380E" w:rsidRDefault="008F380E" w:rsidP="008F380E">
      <w:pPr>
        <w:pStyle w:val="ListParagraph"/>
        <w:numPr>
          <w:ilvl w:val="0"/>
          <w:numId w:val="20"/>
        </w:numPr>
        <w:rPr>
          <w:rFonts w:ascii="Segoe UI" w:hAnsi="Segoe UI" w:cs="Segoe UI"/>
          <w:color w:val="000000" w:themeColor="text1"/>
          <w:sz w:val="20"/>
          <w:szCs w:val="20"/>
          <w:lang w:val="fr-FR"/>
        </w:rPr>
      </w:pPr>
      <w:r w:rsidRPr="008F380E">
        <w:rPr>
          <w:lang w:val="fr-FR"/>
        </w:rPr>
        <w:t>Identifier les principaux défis ayant un impact sur l'intégration de notre travail et discuter d'approches communes pour les relever.</w:t>
      </w:r>
    </w:p>
    <w:p w14:paraId="5FC1A1A0" w14:textId="77777777" w:rsidR="008F380E" w:rsidRPr="008F380E" w:rsidRDefault="008F380E" w:rsidP="008F380E">
      <w:pPr>
        <w:pStyle w:val="ListParagraph"/>
        <w:numPr>
          <w:ilvl w:val="0"/>
          <w:numId w:val="20"/>
        </w:numPr>
        <w:rPr>
          <w:rFonts w:ascii="Segoe UI" w:hAnsi="Segoe UI" w:cs="Segoe UI"/>
          <w:color w:val="000000" w:themeColor="text1"/>
          <w:sz w:val="20"/>
          <w:szCs w:val="20"/>
          <w:lang w:val="fr-FR"/>
        </w:rPr>
      </w:pPr>
      <w:r w:rsidRPr="008F380E">
        <w:rPr>
          <w:lang w:val="fr-FR"/>
        </w:rPr>
        <w:t>Coordonner la contextualisation et la traduction des principaux documents d'orientation, stratégies, outils et matériels de formation pour la région Afrique et veiller à ce qu'ils soient disponibles sur le CEA Hub.</w:t>
      </w:r>
    </w:p>
    <w:p w14:paraId="28D00640" w14:textId="77777777" w:rsidR="008F380E" w:rsidRPr="008F380E" w:rsidRDefault="008F380E" w:rsidP="008F380E">
      <w:pPr>
        <w:pStyle w:val="ListParagraph"/>
        <w:numPr>
          <w:ilvl w:val="0"/>
          <w:numId w:val="20"/>
        </w:numPr>
        <w:rPr>
          <w:rFonts w:ascii="Segoe UI" w:hAnsi="Segoe UI" w:cs="Segoe UI"/>
          <w:color w:val="000000" w:themeColor="text1"/>
          <w:sz w:val="20"/>
          <w:szCs w:val="20"/>
        </w:rPr>
      </w:pPr>
      <w:r w:rsidRPr="008F380E">
        <w:rPr>
          <w:lang w:val="fr-FR"/>
        </w:rPr>
        <w:t xml:space="preserve">Identifier les opportunités de collaboration sur des programmes et des opérations clés, tels que le programme Africa CDC Saving Lives and Livelihoods, le PPP d'ECHO, la crise de la faim, etc. </w:t>
      </w:r>
    </w:p>
    <w:p w14:paraId="34206C80" w14:textId="77777777" w:rsidR="008F380E" w:rsidRPr="008F380E" w:rsidRDefault="008F380E" w:rsidP="008F380E">
      <w:pPr>
        <w:pStyle w:val="ListParagraph"/>
        <w:numPr>
          <w:ilvl w:val="0"/>
          <w:numId w:val="20"/>
        </w:numPr>
        <w:rPr>
          <w:rFonts w:ascii="Segoe UI" w:hAnsi="Segoe UI" w:cs="Segoe UI"/>
          <w:color w:val="000000" w:themeColor="text1"/>
          <w:sz w:val="20"/>
          <w:szCs w:val="20"/>
          <w:lang w:val="fr-FR"/>
        </w:rPr>
      </w:pPr>
      <w:r w:rsidRPr="008F380E">
        <w:rPr>
          <w:lang w:val="fr-FR"/>
        </w:rPr>
        <w:t>Identifier les possibilités d'intégrer l'engagement et la responsabilité communautaires dans d'autres secteurs techniques et domaines de travail, tels que l'IGC, l'argent liquide, la santé, le changement climatique, la migration.</w:t>
      </w:r>
    </w:p>
    <w:p w14:paraId="34AF3EE0" w14:textId="77777777" w:rsidR="008F380E" w:rsidRPr="008F380E" w:rsidRDefault="008F380E" w:rsidP="008F380E">
      <w:pPr>
        <w:pStyle w:val="ListParagraph"/>
        <w:numPr>
          <w:ilvl w:val="0"/>
          <w:numId w:val="20"/>
        </w:numPr>
        <w:rPr>
          <w:rFonts w:ascii="Segoe UI" w:hAnsi="Segoe UI" w:cs="Segoe UI"/>
          <w:color w:val="000000" w:themeColor="text1"/>
          <w:sz w:val="20"/>
          <w:szCs w:val="20"/>
        </w:rPr>
      </w:pPr>
      <w:r w:rsidRPr="008F380E">
        <w:rPr>
          <w:lang w:val="fr-FR"/>
        </w:rPr>
        <w:lastRenderedPageBreak/>
        <w:t>Soutenir le renforcement et l'élargissement de la collecte, de l'analyse, du codage, de la visualisation et de la diffusion du retour d'information de la communauté et des données de sciences sociales, et discuter des moyens à mettre en œuvre pour une action collective sur les résultats.</w:t>
      </w:r>
    </w:p>
    <w:p w14:paraId="14C917D1" w14:textId="77777777" w:rsidR="008F380E" w:rsidRPr="008F380E" w:rsidRDefault="008F380E" w:rsidP="008F380E">
      <w:pPr>
        <w:pStyle w:val="ListParagraph"/>
        <w:numPr>
          <w:ilvl w:val="0"/>
          <w:numId w:val="20"/>
        </w:numPr>
        <w:rPr>
          <w:rFonts w:ascii="Segoe UI" w:hAnsi="Segoe UI" w:cs="Segoe UI"/>
          <w:color w:val="000000" w:themeColor="text1"/>
          <w:sz w:val="20"/>
          <w:szCs w:val="20"/>
          <w:lang w:val="fr-FR"/>
        </w:rPr>
      </w:pPr>
      <w:r w:rsidRPr="008F380E">
        <w:rPr>
          <w:lang w:val="fr-FR"/>
        </w:rPr>
        <w:t xml:space="preserve">Inviter des partenaires externes, tels que le CDC Afrique, l'OMS, l'UNICEF, etc., à se joindre à certaines réunions pour discuter d'initiatives spécifiques afin de promouvoir la collaboration inter-agences. </w:t>
      </w:r>
    </w:p>
    <w:p w14:paraId="3232C35A" w14:textId="72E16AA8" w:rsidR="0078323D" w:rsidRPr="008F380E" w:rsidRDefault="008F380E" w:rsidP="008F380E">
      <w:pPr>
        <w:pStyle w:val="ListParagraph"/>
        <w:numPr>
          <w:ilvl w:val="0"/>
          <w:numId w:val="20"/>
        </w:numPr>
        <w:rPr>
          <w:rFonts w:ascii="Segoe UI" w:hAnsi="Segoe UI" w:cs="Segoe UI"/>
          <w:color w:val="000000" w:themeColor="text1"/>
          <w:sz w:val="20"/>
          <w:szCs w:val="20"/>
          <w:lang w:val="fr-FR"/>
        </w:rPr>
      </w:pPr>
      <w:r w:rsidRPr="008F380E">
        <w:rPr>
          <w:lang w:val="fr-FR"/>
        </w:rPr>
        <w:t>Discuter des possibilités d'engagement avec les donateurs pour plaider en faveur d'un financement aux niveaux national, sectoriel et régional.</w:t>
      </w:r>
    </w:p>
    <w:p w14:paraId="52D6EDA3" w14:textId="7D5A786B" w:rsidR="0078323D" w:rsidRPr="0095014C" w:rsidRDefault="00AE4095" w:rsidP="00A22324">
      <w:pPr>
        <w:pStyle w:val="Heading2"/>
        <w:jc w:val="both"/>
        <w:rPr>
          <w:rFonts w:ascii="Segoe UI" w:hAnsi="Segoe UI" w:cs="Segoe UI"/>
          <w:b/>
          <w:bCs/>
          <w:sz w:val="20"/>
          <w:szCs w:val="20"/>
          <w:lang w:val="fr-FR"/>
        </w:rPr>
      </w:pPr>
      <w:r w:rsidRPr="0095014C">
        <w:rPr>
          <w:rFonts w:ascii="Segoe UI" w:hAnsi="Segoe UI" w:cs="Segoe UI"/>
          <w:b/>
          <w:bCs/>
          <w:sz w:val="20"/>
          <w:szCs w:val="20"/>
          <w:lang w:val="fr-FR"/>
        </w:rPr>
        <w:t>de l'adhésion et du partenariat</w:t>
      </w:r>
    </w:p>
    <w:p w14:paraId="06A89B50" w14:textId="53DD16FF" w:rsidR="00872394" w:rsidRPr="00872394" w:rsidRDefault="0095014C" w:rsidP="0095014C">
      <w:pPr>
        <w:spacing w:after="0" w:line="240" w:lineRule="auto"/>
        <w:rPr>
          <w:rFonts w:ascii="Segoe UI" w:hAnsi="Segoe UI" w:cs="Segoe UI"/>
          <w:sz w:val="20"/>
          <w:szCs w:val="20"/>
        </w:rPr>
      </w:pPr>
      <w:r w:rsidRPr="0095014C">
        <w:rPr>
          <w:lang w:val="fr-FR"/>
        </w:rPr>
        <w:t xml:space="preserve">L'adhésion et la participation sont ouvertes à tous les partenaires du Mouvement (SN, SNP, FICR et CICR) qui sont impliqués dans le soutien de l'engagement communautaire et du travail de responsabilisation en Afrique. </w:t>
      </w:r>
      <w:r w:rsidRPr="0095014C">
        <w:rPr>
          <w:b/>
          <w:bCs/>
          <w:lang w:val="fr-FR"/>
        </w:rPr>
        <w:t>Il n'est pas nécessaire d'être un expert technique de l'AEC pour rejoindre le groupe de travail, il suffit de s'engager à l'intégrer dans son travail.</w:t>
      </w:r>
      <w:r w:rsidRPr="0095014C">
        <w:rPr>
          <w:lang w:val="fr-FR"/>
        </w:rPr>
        <w:t xml:space="preserve"> </w:t>
      </w:r>
      <w:r w:rsidRPr="0095014C">
        <w:rPr>
          <w:lang w:val="fr-FR"/>
        </w:rPr>
        <w:br/>
      </w:r>
      <w:r w:rsidRPr="0095014C">
        <w:rPr>
          <w:lang w:val="fr-FR"/>
        </w:rPr>
        <w:br/>
        <w:t xml:space="preserve">Les collègues du Mouvement interne issus d'autres secteurs techniques (par exemple IGP, Cash, migration, etc.) peuvent être invités à participer à des réunions spécifiques du groupe de travail ou à des réunions de sous-groupes pour discuter de la collaboration et de l'intégration de l'engagement communautaire et du travail de responsabilisation. </w:t>
      </w:r>
      <w:r w:rsidRPr="0095014C">
        <w:rPr>
          <w:lang w:val="fr-FR"/>
        </w:rPr>
        <w:br/>
      </w:r>
      <w:r w:rsidRPr="0095014C">
        <w:rPr>
          <w:lang w:val="fr-FR"/>
        </w:rPr>
        <w:br/>
        <w:t xml:space="preserve">Lorsque cela est approprié et pertinent, les partenaires externes peuvent également être invités à participer à des réunions spécifiques du groupe de travail ou à des réunions de sous-groupes pour discuter de la collaboration sur des initiatives inter-agences. </w:t>
      </w:r>
      <w:r w:rsidRPr="0095014C">
        <w:rPr>
          <w:lang w:val="fr-FR"/>
        </w:rPr>
        <w:br/>
      </w:r>
    </w:p>
    <w:p w14:paraId="45EFFB10" w14:textId="13254460" w:rsidR="0078323D" w:rsidRPr="002730B0" w:rsidRDefault="00B71693" w:rsidP="00A22324">
      <w:pPr>
        <w:pStyle w:val="Heading2"/>
        <w:jc w:val="both"/>
        <w:rPr>
          <w:rFonts w:ascii="Segoe UI" w:hAnsi="Segoe UI" w:cs="Segoe UI"/>
          <w:b/>
          <w:bCs/>
          <w:sz w:val="20"/>
          <w:szCs w:val="20"/>
          <w:lang w:val="fr-FR"/>
        </w:rPr>
      </w:pPr>
      <w:r w:rsidRPr="00B71693">
        <w:rPr>
          <w:rFonts w:ascii="Segoe UI" w:hAnsi="Segoe UI" w:cs="Segoe UI"/>
          <w:b/>
          <w:bCs/>
          <w:sz w:val="20"/>
          <w:szCs w:val="20"/>
          <w:lang w:val="fr-FR"/>
        </w:rPr>
        <w:t>Fréquence des réunions</w:t>
      </w:r>
    </w:p>
    <w:p w14:paraId="056E8C14" w14:textId="0D38C14E" w:rsidR="00A94F79" w:rsidRPr="003C3315" w:rsidRDefault="002730B0" w:rsidP="003C3315">
      <w:pPr>
        <w:spacing w:after="0" w:line="240" w:lineRule="auto"/>
        <w:rPr>
          <w:rFonts w:ascii="Segoe UI" w:hAnsi="Segoe UI" w:cs="Segoe UI"/>
          <w:sz w:val="20"/>
          <w:szCs w:val="20"/>
        </w:rPr>
      </w:pPr>
      <w:r w:rsidRPr="003C3315">
        <w:rPr>
          <w:lang w:val="fr-FR"/>
        </w:rPr>
        <w:t xml:space="preserve">Le groupe de travail sur l'engagement communautaire et la responsabilité se réunira virtuellement tous les trimestres pendant deux heures. La première réunion en 2022 aura lieu le XX octobre à XX heure d'Afrique de l'Est. Les invitations au calendrier seront envoyées à toutes les personnes inscrites dans la liste des participants figurant dans l'annexe ci-dessous. </w:t>
      </w:r>
      <w:r w:rsidRPr="003C3315">
        <w:rPr>
          <w:lang w:val="fr-FR"/>
        </w:rPr>
        <w:br/>
      </w:r>
      <w:r w:rsidRPr="003C3315">
        <w:rPr>
          <w:lang w:val="fr-FR"/>
        </w:rPr>
        <w:br/>
        <w:t>Les sous-groupes se réuniront en fonction des besoins, mais dans l'immédiat, ils comprendront :</w:t>
      </w:r>
      <w:r w:rsidRPr="003C3315">
        <w:rPr>
          <w:lang w:val="fr-FR"/>
        </w:rPr>
        <w:br/>
        <w:t>- Des réunions mensuelles sur le programme Africa CDC Saving Lives and Livelihoods (qui se tiendront tous les XX à XX heure d'Afrique de l'Est).</w:t>
      </w:r>
      <w:r w:rsidRPr="003C3315">
        <w:rPr>
          <w:lang w:val="fr-FR"/>
        </w:rPr>
        <w:br/>
        <w:t xml:space="preserve">- des réunions bimensuelles sur le PPP d'ECHO (qui auront lieu tous les XX à XX heure d'Afrique de l'Est) </w:t>
      </w:r>
      <w:r w:rsidRPr="003C3315">
        <w:rPr>
          <w:lang w:val="fr-FR"/>
        </w:rPr>
        <w:br/>
        <w:t>- Sous-groupe de travail bimensuel sur le retour d'information de la communauté (tous les XX jours à XX heures en Afrique de l'Est).</w:t>
      </w:r>
      <w:r w:rsidRPr="003C3315">
        <w:rPr>
          <w:lang w:val="fr-FR"/>
        </w:rPr>
        <w:br/>
      </w:r>
      <w:r w:rsidRPr="003C3315">
        <w:rPr>
          <w:lang w:val="fr-FR"/>
        </w:rPr>
        <w:br/>
        <w:t xml:space="preserve">Une traduction en temps réel en français et en portugais sera organisée pendant toutes les réunions afin de garantir l'inclusivité. </w:t>
      </w:r>
      <w:r>
        <w:t xml:space="preserve">Sous-groupes </w:t>
      </w:r>
    </w:p>
    <w:p w14:paraId="0004076E" w14:textId="227BDC47" w:rsidR="0078323D" w:rsidRPr="00B71693" w:rsidRDefault="00B71693" w:rsidP="00A22324">
      <w:pPr>
        <w:pStyle w:val="Heading2"/>
        <w:jc w:val="both"/>
        <w:rPr>
          <w:rFonts w:ascii="Segoe UI" w:hAnsi="Segoe UI" w:cs="Segoe UI"/>
          <w:b/>
          <w:bCs/>
          <w:sz w:val="20"/>
          <w:szCs w:val="20"/>
          <w:lang w:val="fr-FR"/>
        </w:rPr>
      </w:pPr>
      <w:r w:rsidRPr="00B71693">
        <w:rPr>
          <w:rFonts w:ascii="Segoe UI" w:hAnsi="Segoe UI" w:cs="Segoe UI"/>
          <w:b/>
          <w:bCs/>
          <w:sz w:val="20"/>
          <w:szCs w:val="20"/>
          <w:lang w:val="fr-FR"/>
        </w:rPr>
        <w:t>PRÉSIDENT/CO-PRÉSIDENT ET ORDRE DU JOUR :</w:t>
      </w:r>
    </w:p>
    <w:p w14:paraId="385484B1" w14:textId="2FF693D5" w:rsidR="00F46056" w:rsidRPr="00120EEE" w:rsidRDefault="003E058B" w:rsidP="003E058B">
      <w:pPr>
        <w:rPr>
          <w:rFonts w:ascii="Segoe UI" w:hAnsi="Segoe UI" w:cs="Segoe UI"/>
          <w:bCs/>
          <w:sz w:val="20"/>
          <w:szCs w:val="20"/>
        </w:rPr>
      </w:pPr>
      <w:r w:rsidRPr="003E058B">
        <w:rPr>
          <w:lang w:val="fr-FR"/>
        </w:rPr>
        <w:t xml:space="preserve">Le conseiller principal en engagement communautaire et responsabilité de la FICR pour l'Afrique présidera le groupe de travail ou sera suppléé par un autre membre de l'équipe CEA de la FICR en cas d'absence. Une coprésidence tournante pourrait être partagée entre les SN, SNP ou CICR intéressés. </w:t>
      </w:r>
      <w:r w:rsidRPr="003E058B">
        <w:rPr>
          <w:lang w:val="fr-FR"/>
        </w:rPr>
        <w:lastRenderedPageBreak/>
        <w:t xml:space="preserve">Veuillez indiquer votre intérêt pour la coprésidence dans l'annexe ci-dessous. </w:t>
      </w:r>
      <w:r w:rsidRPr="003E058B">
        <w:rPr>
          <w:lang w:val="fr-FR"/>
        </w:rPr>
        <w:br/>
        <w:t>Les points permanents de l'ordre du jour de chaque réunion seraient les suivants</w:t>
      </w:r>
      <w:r w:rsidRPr="003E058B">
        <w:rPr>
          <w:lang w:val="fr-FR"/>
        </w:rPr>
        <w:br/>
        <w:t xml:space="preserve">- Les principaux progrès et réalisations concernant les 5 changements stratégiques clés. </w:t>
      </w:r>
      <w:r w:rsidRPr="003E058B">
        <w:rPr>
          <w:lang w:val="fr-FR"/>
        </w:rPr>
        <w:br/>
        <w:t xml:space="preserve">- Les défis identifiés et les moyens potentiels de progresser </w:t>
      </w:r>
      <w:r w:rsidRPr="003E058B">
        <w:rPr>
          <w:lang w:val="fr-FR"/>
        </w:rPr>
        <w:br/>
        <w:t xml:space="preserve">- Mises à jour sur les initiatives régionales ou mondiales </w:t>
      </w:r>
      <w:r w:rsidRPr="003E058B">
        <w:rPr>
          <w:lang w:val="fr-FR"/>
        </w:rPr>
        <w:br/>
        <w:t xml:space="preserve">- Nouveaux outils, conseils, matériels de recherche ou de formation </w:t>
      </w:r>
      <w:r w:rsidRPr="003E058B">
        <w:rPr>
          <w:lang w:val="fr-FR"/>
        </w:rPr>
        <w:br/>
        <w:t xml:space="preserve">- des approfondissements thématiques. </w:t>
      </w:r>
      <w:r w:rsidRPr="003E058B">
        <w:rPr>
          <w:lang w:val="fr-FR"/>
        </w:rPr>
        <w:br/>
      </w:r>
    </w:p>
    <w:p w14:paraId="3AED1448" w14:textId="7E217F6C" w:rsidR="00CB3777" w:rsidRPr="00BB5624" w:rsidRDefault="00CB3777" w:rsidP="00A22324">
      <w:pPr>
        <w:pStyle w:val="Heading2"/>
        <w:jc w:val="both"/>
        <w:rPr>
          <w:rFonts w:ascii="Segoe UI" w:hAnsi="Segoe UI" w:cs="Segoe UI"/>
          <w:b/>
          <w:bCs/>
          <w:sz w:val="20"/>
          <w:szCs w:val="20"/>
          <w:lang w:val="fr-FR"/>
        </w:rPr>
      </w:pPr>
      <w:r w:rsidRPr="00BB5624">
        <w:rPr>
          <w:rFonts w:ascii="Segoe UI" w:hAnsi="Segoe UI" w:cs="Segoe UI"/>
          <w:b/>
          <w:bCs/>
          <w:sz w:val="20"/>
          <w:szCs w:val="20"/>
          <w:lang w:val="fr-FR"/>
        </w:rPr>
        <w:t>Re</w:t>
      </w:r>
      <w:r w:rsidR="00BB5624" w:rsidRPr="00BB5624">
        <w:rPr>
          <w:rFonts w:ascii="Segoe UI" w:hAnsi="Segoe UI" w:cs="Segoe UI"/>
          <w:b/>
          <w:bCs/>
          <w:sz w:val="20"/>
          <w:szCs w:val="20"/>
          <w:lang w:val="fr-FR"/>
        </w:rPr>
        <w:t>S</w:t>
      </w:r>
      <w:r w:rsidRPr="00BB5624">
        <w:rPr>
          <w:rFonts w:ascii="Segoe UI" w:hAnsi="Segoe UI" w:cs="Segoe UI"/>
          <w:b/>
          <w:bCs/>
          <w:sz w:val="20"/>
          <w:szCs w:val="20"/>
          <w:lang w:val="fr-FR"/>
        </w:rPr>
        <w:t>sources</w:t>
      </w:r>
    </w:p>
    <w:p w14:paraId="385301A2" w14:textId="066F8BCD" w:rsidR="00BB5624" w:rsidRPr="00BB5624" w:rsidRDefault="00BB5624" w:rsidP="00BB5624">
      <w:pPr>
        <w:jc w:val="both"/>
        <w:rPr>
          <w:lang w:val="fr-FR"/>
        </w:rPr>
      </w:pPr>
      <w:r w:rsidRPr="00BB5624">
        <w:rPr>
          <w:lang w:val="fr-FR"/>
        </w:rPr>
        <w:t xml:space="preserve">Toutes les ressources, les orientations et les documents seront hébergés sur le </w:t>
      </w:r>
      <w:hyperlink r:id="rId13" w:history="1">
        <w:r w:rsidRPr="00AC39CA">
          <w:rPr>
            <w:rStyle w:val="Hyperlink"/>
            <w:lang w:val="fr-FR"/>
          </w:rPr>
          <w:t>CEA Hub.</w:t>
        </w:r>
      </w:hyperlink>
      <w:r w:rsidRPr="00BB5624">
        <w:rPr>
          <w:lang w:val="fr-FR"/>
        </w:rPr>
        <w:t xml:space="preserve"> </w:t>
      </w:r>
    </w:p>
    <w:p w14:paraId="63728003" w14:textId="77777777" w:rsidR="00BB5624" w:rsidRPr="00BB5624" w:rsidRDefault="00BB5624" w:rsidP="00BB5624">
      <w:pPr>
        <w:jc w:val="both"/>
        <w:rPr>
          <w:lang w:val="fr-FR"/>
        </w:rPr>
      </w:pPr>
      <w:r w:rsidRPr="00BB5624">
        <w:rPr>
          <w:lang w:val="fr-FR"/>
        </w:rPr>
        <w:t xml:space="preserve">Les procès-verbaux des réunions, les enregistrements de chaque réunion et les ressources clés/PPT seront partagés avec les membres du groupe de travail après chaque réunion. </w:t>
      </w:r>
    </w:p>
    <w:p w14:paraId="3AA5DCF7" w14:textId="77777777" w:rsidR="00BB5624" w:rsidRPr="00BB5624" w:rsidRDefault="00BB5624" w:rsidP="00BB5624">
      <w:pPr>
        <w:jc w:val="both"/>
        <w:rPr>
          <w:lang w:val="fr-FR"/>
        </w:rPr>
      </w:pPr>
    </w:p>
    <w:p w14:paraId="7801B919" w14:textId="081ABC76" w:rsidR="00BA1F3F" w:rsidRPr="00BB5624" w:rsidRDefault="00BB5624" w:rsidP="00BB5624">
      <w:pPr>
        <w:jc w:val="both"/>
        <w:rPr>
          <w:rFonts w:ascii="Segoe UI" w:hAnsi="Segoe UI" w:cs="Segoe UI"/>
          <w:sz w:val="20"/>
          <w:szCs w:val="20"/>
          <w:lang w:val="fr-FR"/>
        </w:rPr>
      </w:pPr>
      <w:r w:rsidRPr="00BB5624">
        <w:rPr>
          <w:lang w:val="fr-FR"/>
        </w:rPr>
        <w:t xml:space="preserve">Pour toute question, veuillez envoyer un courriel à </w:t>
      </w:r>
      <w:hyperlink r:id="rId14" w:history="1">
        <w:r w:rsidR="00BA1F3F" w:rsidRPr="00BB5624">
          <w:rPr>
            <w:rStyle w:val="Hyperlink"/>
            <w:lang w:val="fr-FR"/>
          </w:rPr>
          <w:t>Sophie.everest@ifrc.org</w:t>
        </w:r>
      </w:hyperlink>
      <w:r w:rsidR="00BA1F3F" w:rsidRPr="00BB5624">
        <w:rPr>
          <w:lang w:val="fr-FR"/>
        </w:rPr>
        <w:t xml:space="preserve"> </w:t>
      </w:r>
    </w:p>
    <w:p w14:paraId="402574E1" w14:textId="77777777" w:rsidR="00BA1F3F" w:rsidRPr="00BB5624" w:rsidRDefault="00BA1F3F" w:rsidP="002C56AC">
      <w:pPr>
        <w:jc w:val="both"/>
        <w:rPr>
          <w:rFonts w:ascii="Segoe UI" w:hAnsi="Segoe UI" w:cs="Segoe UI"/>
          <w:sz w:val="20"/>
          <w:szCs w:val="20"/>
          <w:lang w:val="fr-FR"/>
        </w:rPr>
      </w:pPr>
    </w:p>
    <w:p w14:paraId="524195CB" w14:textId="6BC633C4" w:rsidR="00BA1F3F" w:rsidRPr="00BB5624" w:rsidRDefault="00723468">
      <w:pPr>
        <w:rPr>
          <w:rFonts w:ascii="Segoe UI" w:hAnsi="Segoe UI" w:cs="Segoe UI"/>
          <w:sz w:val="20"/>
          <w:szCs w:val="20"/>
          <w:lang w:val="fr-FR"/>
        </w:rPr>
      </w:pPr>
      <w:r w:rsidRPr="00BB5624">
        <w:rPr>
          <w:rFonts w:ascii="Segoe UI" w:hAnsi="Segoe UI" w:cs="Segoe UI"/>
          <w:sz w:val="20"/>
          <w:szCs w:val="20"/>
          <w:lang w:val="fr-FR"/>
        </w:rPr>
        <w:br w:type="page"/>
      </w:r>
    </w:p>
    <w:p w14:paraId="6399F975" w14:textId="5E049BDC" w:rsidR="00723468" w:rsidRPr="004E06E9" w:rsidRDefault="00723468" w:rsidP="00723468">
      <w:pPr>
        <w:pStyle w:val="Heading1"/>
        <w:rPr>
          <w:lang w:val="fr-FR"/>
        </w:rPr>
      </w:pPr>
      <w:r w:rsidRPr="004E06E9">
        <w:rPr>
          <w:lang w:val="fr-FR"/>
        </w:rPr>
        <w:lastRenderedPageBreak/>
        <w:t>Annex</w:t>
      </w:r>
      <w:r w:rsidR="00AC39CA" w:rsidRPr="004E06E9">
        <w:rPr>
          <w:lang w:val="fr-FR"/>
        </w:rPr>
        <w:t>e</w:t>
      </w:r>
      <w:r w:rsidRPr="004E06E9">
        <w:rPr>
          <w:lang w:val="fr-FR"/>
        </w:rPr>
        <w:t xml:space="preserve"> 1 </w:t>
      </w:r>
    </w:p>
    <w:p w14:paraId="5EEBCFA6" w14:textId="77777777" w:rsidR="004E06E9" w:rsidRPr="004E06E9" w:rsidRDefault="004E06E9" w:rsidP="00723468">
      <w:pPr>
        <w:rPr>
          <w:b/>
          <w:bCs/>
          <w:lang w:val="fr-FR"/>
        </w:rPr>
      </w:pPr>
      <w:r w:rsidRPr="004E06E9">
        <w:rPr>
          <w:b/>
          <w:bCs/>
          <w:lang w:val="fr-FR"/>
        </w:rPr>
        <w:t xml:space="preserve">Adhésion au groupe de travail </w:t>
      </w:r>
    </w:p>
    <w:p w14:paraId="528CBC40" w14:textId="41B51FA6" w:rsidR="007C2034" w:rsidRPr="004E06E9" w:rsidRDefault="004E06E9" w:rsidP="00723468">
      <w:pPr>
        <w:rPr>
          <w:lang w:val="fr-FR"/>
        </w:rPr>
      </w:pPr>
      <w:r w:rsidRPr="004E06E9">
        <w:rPr>
          <w:lang w:val="fr-FR"/>
        </w:rPr>
        <w:t>Veuillez ajouter votre nom et vos coordonnées au tableau ci-dessous si vous souhaitez devenir membre du groupe de travail sur l'engagement et la responsabilité communautaires.</w:t>
      </w:r>
    </w:p>
    <w:tbl>
      <w:tblPr>
        <w:tblStyle w:val="TableGrid"/>
        <w:tblW w:w="0" w:type="auto"/>
        <w:tblLook w:val="04A0" w:firstRow="1" w:lastRow="0" w:firstColumn="1" w:lastColumn="0" w:noHBand="0" w:noVBand="1"/>
      </w:tblPr>
      <w:tblGrid>
        <w:gridCol w:w="1530"/>
        <w:gridCol w:w="1491"/>
        <w:gridCol w:w="1724"/>
        <w:gridCol w:w="1585"/>
        <w:gridCol w:w="1595"/>
        <w:gridCol w:w="1425"/>
      </w:tblGrid>
      <w:tr w:rsidR="00A75AC2" w14:paraId="12AEF25B" w14:textId="69147AFF" w:rsidTr="00A75AC2">
        <w:tc>
          <w:tcPr>
            <w:tcW w:w="1542" w:type="dxa"/>
          </w:tcPr>
          <w:p w14:paraId="468D8CD2" w14:textId="05706A80" w:rsidR="00A75AC2" w:rsidRPr="00B9544A" w:rsidRDefault="00A75AC2" w:rsidP="00723468">
            <w:pPr>
              <w:rPr>
                <w:b/>
                <w:bCs/>
                <w:lang w:val="en-GB"/>
              </w:rPr>
            </w:pPr>
            <w:r>
              <w:rPr>
                <w:b/>
                <w:bCs/>
                <w:lang w:val="en-GB"/>
              </w:rPr>
              <w:t>N</w:t>
            </w:r>
            <w:r w:rsidR="004E06E9">
              <w:rPr>
                <w:b/>
                <w:bCs/>
                <w:lang w:val="en-GB"/>
              </w:rPr>
              <w:t>om</w:t>
            </w:r>
          </w:p>
        </w:tc>
        <w:tc>
          <w:tcPr>
            <w:tcW w:w="1502" w:type="dxa"/>
          </w:tcPr>
          <w:p w14:paraId="3F603FBD" w14:textId="6A1CAB3E" w:rsidR="00A75AC2" w:rsidRPr="00B9544A" w:rsidRDefault="00A75AC2" w:rsidP="00723468">
            <w:pPr>
              <w:rPr>
                <w:b/>
                <w:bCs/>
                <w:lang w:val="en-GB"/>
              </w:rPr>
            </w:pPr>
            <w:r>
              <w:rPr>
                <w:b/>
                <w:bCs/>
                <w:lang w:val="en-GB"/>
              </w:rPr>
              <w:t>Tit</w:t>
            </w:r>
            <w:r w:rsidR="004E06E9">
              <w:rPr>
                <w:b/>
                <w:bCs/>
                <w:lang w:val="en-GB"/>
              </w:rPr>
              <w:t>re</w:t>
            </w:r>
          </w:p>
        </w:tc>
        <w:tc>
          <w:tcPr>
            <w:tcW w:w="1729" w:type="dxa"/>
          </w:tcPr>
          <w:p w14:paraId="6A79FB44" w14:textId="493AC7D8" w:rsidR="00A75AC2" w:rsidRPr="00BD2C9C" w:rsidRDefault="00A75AC2" w:rsidP="00723468">
            <w:pPr>
              <w:rPr>
                <w:b/>
                <w:bCs/>
                <w:lang w:val="en-GB"/>
              </w:rPr>
            </w:pPr>
            <w:r>
              <w:rPr>
                <w:b/>
                <w:bCs/>
                <w:lang w:val="en-GB"/>
              </w:rPr>
              <w:t>Organisation</w:t>
            </w:r>
          </w:p>
        </w:tc>
        <w:tc>
          <w:tcPr>
            <w:tcW w:w="1592" w:type="dxa"/>
          </w:tcPr>
          <w:p w14:paraId="64A95617" w14:textId="41496123" w:rsidR="00A75AC2" w:rsidRPr="00BD2C9C" w:rsidRDefault="00E23F12" w:rsidP="00723468">
            <w:pPr>
              <w:rPr>
                <w:b/>
                <w:bCs/>
                <w:lang w:val="en-GB"/>
              </w:rPr>
            </w:pPr>
            <w:r>
              <w:rPr>
                <w:b/>
                <w:bCs/>
                <w:lang w:val="en-GB"/>
              </w:rPr>
              <w:t>A</w:t>
            </w:r>
            <w:r w:rsidR="00A75AC2">
              <w:rPr>
                <w:b/>
                <w:bCs/>
                <w:lang w:val="en-GB"/>
              </w:rPr>
              <w:t>ddress</w:t>
            </w:r>
            <w:r>
              <w:rPr>
                <w:b/>
                <w:bCs/>
                <w:lang w:val="en-GB"/>
              </w:rPr>
              <w:t>e email</w:t>
            </w:r>
          </w:p>
        </w:tc>
        <w:tc>
          <w:tcPr>
            <w:tcW w:w="1601" w:type="dxa"/>
          </w:tcPr>
          <w:p w14:paraId="4F5889E5" w14:textId="7677A1ED" w:rsidR="00A75AC2" w:rsidRPr="00E23F12" w:rsidRDefault="00E23F12" w:rsidP="00723468">
            <w:pPr>
              <w:rPr>
                <w:lang w:val="fr-FR"/>
              </w:rPr>
            </w:pPr>
            <w:r w:rsidRPr="00E23F12">
              <w:rPr>
                <w:b/>
                <w:bCs/>
                <w:lang w:val="fr-FR"/>
              </w:rPr>
              <w:t>Veuillez énumérer les sous-groupes de travail que vous souhaitez rejoindre</w:t>
            </w:r>
            <w:r w:rsidRPr="00E23F12">
              <w:rPr>
                <w:b/>
                <w:bCs/>
                <w:sz w:val="20"/>
                <w:szCs w:val="20"/>
                <w:lang w:val="fr-FR"/>
              </w:rPr>
              <w:t xml:space="preserve"> </w:t>
            </w:r>
            <w:r w:rsidRPr="00E23F12">
              <w:rPr>
                <w:sz w:val="20"/>
                <w:szCs w:val="20"/>
                <w:lang w:val="fr-FR"/>
              </w:rPr>
              <w:t>(par exemple, Africa CDC SLL, ECHO PPP, community feedback, CEA in Cash, CEA et PGI, etc.)</w:t>
            </w:r>
          </w:p>
        </w:tc>
        <w:tc>
          <w:tcPr>
            <w:tcW w:w="1384" w:type="dxa"/>
          </w:tcPr>
          <w:p w14:paraId="51BF6625" w14:textId="0E79BD8E" w:rsidR="00A75AC2" w:rsidRDefault="001B2E37" w:rsidP="00723468">
            <w:pPr>
              <w:rPr>
                <w:b/>
                <w:bCs/>
                <w:lang w:val="en-GB"/>
              </w:rPr>
            </w:pPr>
            <w:r w:rsidRPr="001B2E37">
              <w:rPr>
                <w:b/>
                <w:bCs/>
                <w:lang w:val="en-GB"/>
              </w:rPr>
              <w:t>Seriez-vous intéressé par une coprésidence tournante ? Oui/Non</w:t>
            </w:r>
          </w:p>
        </w:tc>
      </w:tr>
      <w:tr w:rsidR="00A75AC2" w14:paraId="1D9FFD8F" w14:textId="7802D1EA" w:rsidTr="00A75AC2">
        <w:tc>
          <w:tcPr>
            <w:tcW w:w="1542" w:type="dxa"/>
          </w:tcPr>
          <w:p w14:paraId="5C945091" w14:textId="77777777" w:rsidR="00A75AC2" w:rsidRDefault="00A75AC2" w:rsidP="00723468">
            <w:pPr>
              <w:rPr>
                <w:lang w:val="en-GB"/>
              </w:rPr>
            </w:pPr>
          </w:p>
        </w:tc>
        <w:tc>
          <w:tcPr>
            <w:tcW w:w="1502" w:type="dxa"/>
          </w:tcPr>
          <w:p w14:paraId="40E3BDC4" w14:textId="77777777" w:rsidR="00A75AC2" w:rsidRDefault="00A75AC2" w:rsidP="00723468">
            <w:pPr>
              <w:rPr>
                <w:lang w:val="en-GB"/>
              </w:rPr>
            </w:pPr>
          </w:p>
        </w:tc>
        <w:tc>
          <w:tcPr>
            <w:tcW w:w="1729" w:type="dxa"/>
          </w:tcPr>
          <w:p w14:paraId="7BF3E20A" w14:textId="77777777" w:rsidR="00A75AC2" w:rsidRDefault="00A75AC2" w:rsidP="00723468">
            <w:pPr>
              <w:rPr>
                <w:lang w:val="en-GB"/>
              </w:rPr>
            </w:pPr>
          </w:p>
        </w:tc>
        <w:tc>
          <w:tcPr>
            <w:tcW w:w="1592" w:type="dxa"/>
          </w:tcPr>
          <w:p w14:paraId="563391AB" w14:textId="77777777" w:rsidR="00A75AC2" w:rsidRDefault="00A75AC2" w:rsidP="00723468">
            <w:pPr>
              <w:rPr>
                <w:lang w:val="en-GB"/>
              </w:rPr>
            </w:pPr>
          </w:p>
        </w:tc>
        <w:tc>
          <w:tcPr>
            <w:tcW w:w="1601" w:type="dxa"/>
          </w:tcPr>
          <w:p w14:paraId="136826AA" w14:textId="77777777" w:rsidR="00A75AC2" w:rsidRDefault="00A75AC2" w:rsidP="00723468">
            <w:pPr>
              <w:rPr>
                <w:lang w:val="en-GB"/>
              </w:rPr>
            </w:pPr>
          </w:p>
        </w:tc>
        <w:tc>
          <w:tcPr>
            <w:tcW w:w="1384" w:type="dxa"/>
          </w:tcPr>
          <w:p w14:paraId="1F3C0362" w14:textId="77777777" w:rsidR="00A75AC2" w:rsidRDefault="00A75AC2" w:rsidP="00723468">
            <w:pPr>
              <w:rPr>
                <w:lang w:val="en-GB"/>
              </w:rPr>
            </w:pPr>
          </w:p>
        </w:tc>
      </w:tr>
      <w:tr w:rsidR="00A75AC2" w14:paraId="4A4295E5" w14:textId="430700A5" w:rsidTr="00A75AC2">
        <w:tc>
          <w:tcPr>
            <w:tcW w:w="1542" w:type="dxa"/>
          </w:tcPr>
          <w:p w14:paraId="1DCF1A76" w14:textId="77777777" w:rsidR="00A75AC2" w:rsidRDefault="00A75AC2" w:rsidP="00723468">
            <w:pPr>
              <w:rPr>
                <w:lang w:val="en-GB"/>
              </w:rPr>
            </w:pPr>
          </w:p>
        </w:tc>
        <w:tc>
          <w:tcPr>
            <w:tcW w:w="1502" w:type="dxa"/>
          </w:tcPr>
          <w:p w14:paraId="2D36ED98" w14:textId="77777777" w:rsidR="00A75AC2" w:rsidRDefault="00A75AC2" w:rsidP="00723468">
            <w:pPr>
              <w:rPr>
                <w:lang w:val="en-GB"/>
              </w:rPr>
            </w:pPr>
          </w:p>
        </w:tc>
        <w:tc>
          <w:tcPr>
            <w:tcW w:w="1729" w:type="dxa"/>
          </w:tcPr>
          <w:p w14:paraId="2F45BA0F" w14:textId="77777777" w:rsidR="00A75AC2" w:rsidRDefault="00A75AC2" w:rsidP="00723468">
            <w:pPr>
              <w:rPr>
                <w:lang w:val="en-GB"/>
              </w:rPr>
            </w:pPr>
          </w:p>
        </w:tc>
        <w:tc>
          <w:tcPr>
            <w:tcW w:w="1592" w:type="dxa"/>
          </w:tcPr>
          <w:p w14:paraId="20FFA320" w14:textId="77777777" w:rsidR="00A75AC2" w:rsidRDefault="00A75AC2" w:rsidP="00723468">
            <w:pPr>
              <w:rPr>
                <w:lang w:val="en-GB"/>
              </w:rPr>
            </w:pPr>
          </w:p>
        </w:tc>
        <w:tc>
          <w:tcPr>
            <w:tcW w:w="1601" w:type="dxa"/>
          </w:tcPr>
          <w:p w14:paraId="0A21B5A8" w14:textId="77777777" w:rsidR="00A75AC2" w:rsidRDefault="00A75AC2" w:rsidP="00723468">
            <w:pPr>
              <w:rPr>
                <w:lang w:val="en-GB"/>
              </w:rPr>
            </w:pPr>
          </w:p>
        </w:tc>
        <w:tc>
          <w:tcPr>
            <w:tcW w:w="1384" w:type="dxa"/>
          </w:tcPr>
          <w:p w14:paraId="7EB09F3E" w14:textId="77777777" w:rsidR="00A75AC2" w:rsidRDefault="00A75AC2" w:rsidP="00723468">
            <w:pPr>
              <w:rPr>
                <w:lang w:val="en-GB"/>
              </w:rPr>
            </w:pPr>
          </w:p>
        </w:tc>
      </w:tr>
      <w:tr w:rsidR="00A75AC2" w14:paraId="1120B669" w14:textId="698B2D66" w:rsidTr="00A75AC2">
        <w:tc>
          <w:tcPr>
            <w:tcW w:w="1542" w:type="dxa"/>
          </w:tcPr>
          <w:p w14:paraId="777D3DF1" w14:textId="77777777" w:rsidR="00A75AC2" w:rsidRDefault="00A75AC2" w:rsidP="00723468">
            <w:pPr>
              <w:rPr>
                <w:lang w:val="en-GB"/>
              </w:rPr>
            </w:pPr>
          </w:p>
        </w:tc>
        <w:tc>
          <w:tcPr>
            <w:tcW w:w="1502" w:type="dxa"/>
          </w:tcPr>
          <w:p w14:paraId="1ABE38E5" w14:textId="77777777" w:rsidR="00A75AC2" w:rsidRDefault="00A75AC2" w:rsidP="00723468">
            <w:pPr>
              <w:rPr>
                <w:lang w:val="en-GB"/>
              </w:rPr>
            </w:pPr>
          </w:p>
        </w:tc>
        <w:tc>
          <w:tcPr>
            <w:tcW w:w="1729" w:type="dxa"/>
          </w:tcPr>
          <w:p w14:paraId="0E9963DD" w14:textId="77777777" w:rsidR="00A75AC2" w:rsidRDefault="00A75AC2" w:rsidP="00723468">
            <w:pPr>
              <w:rPr>
                <w:lang w:val="en-GB"/>
              </w:rPr>
            </w:pPr>
          </w:p>
        </w:tc>
        <w:tc>
          <w:tcPr>
            <w:tcW w:w="1592" w:type="dxa"/>
          </w:tcPr>
          <w:p w14:paraId="2D98D161" w14:textId="77777777" w:rsidR="00A75AC2" w:rsidRDefault="00A75AC2" w:rsidP="00723468">
            <w:pPr>
              <w:rPr>
                <w:lang w:val="en-GB"/>
              </w:rPr>
            </w:pPr>
          </w:p>
        </w:tc>
        <w:tc>
          <w:tcPr>
            <w:tcW w:w="1601" w:type="dxa"/>
          </w:tcPr>
          <w:p w14:paraId="5AA543A3" w14:textId="77777777" w:rsidR="00A75AC2" w:rsidRDefault="00A75AC2" w:rsidP="00723468">
            <w:pPr>
              <w:rPr>
                <w:lang w:val="en-GB"/>
              </w:rPr>
            </w:pPr>
          </w:p>
        </w:tc>
        <w:tc>
          <w:tcPr>
            <w:tcW w:w="1384" w:type="dxa"/>
          </w:tcPr>
          <w:p w14:paraId="1B598E54" w14:textId="77777777" w:rsidR="00A75AC2" w:rsidRDefault="00A75AC2" w:rsidP="00723468">
            <w:pPr>
              <w:rPr>
                <w:lang w:val="en-GB"/>
              </w:rPr>
            </w:pPr>
          </w:p>
        </w:tc>
      </w:tr>
      <w:tr w:rsidR="00A75AC2" w14:paraId="5F0BC9CF" w14:textId="4CCBA0F4" w:rsidTr="00A75AC2">
        <w:tc>
          <w:tcPr>
            <w:tcW w:w="1542" w:type="dxa"/>
          </w:tcPr>
          <w:p w14:paraId="2F0286BA" w14:textId="77777777" w:rsidR="00A75AC2" w:rsidRDefault="00A75AC2" w:rsidP="00723468">
            <w:pPr>
              <w:rPr>
                <w:lang w:val="en-GB"/>
              </w:rPr>
            </w:pPr>
          </w:p>
        </w:tc>
        <w:tc>
          <w:tcPr>
            <w:tcW w:w="1502" w:type="dxa"/>
          </w:tcPr>
          <w:p w14:paraId="0EF76A56" w14:textId="77777777" w:rsidR="00A75AC2" w:rsidRDefault="00A75AC2" w:rsidP="00723468">
            <w:pPr>
              <w:rPr>
                <w:lang w:val="en-GB"/>
              </w:rPr>
            </w:pPr>
          </w:p>
        </w:tc>
        <w:tc>
          <w:tcPr>
            <w:tcW w:w="1729" w:type="dxa"/>
          </w:tcPr>
          <w:p w14:paraId="44B713C6" w14:textId="77777777" w:rsidR="00A75AC2" w:rsidRDefault="00A75AC2" w:rsidP="00723468">
            <w:pPr>
              <w:rPr>
                <w:lang w:val="en-GB"/>
              </w:rPr>
            </w:pPr>
          </w:p>
        </w:tc>
        <w:tc>
          <w:tcPr>
            <w:tcW w:w="1592" w:type="dxa"/>
          </w:tcPr>
          <w:p w14:paraId="3E7E650D" w14:textId="77777777" w:rsidR="00A75AC2" w:rsidRDefault="00A75AC2" w:rsidP="00723468">
            <w:pPr>
              <w:rPr>
                <w:lang w:val="en-GB"/>
              </w:rPr>
            </w:pPr>
          </w:p>
        </w:tc>
        <w:tc>
          <w:tcPr>
            <w:tcW w:w="1601" w:type="dxa"/>
          </w:tcPr>
          <w:p w14:paraId="11F78090" w14:textId="77777777" w:rsidR="00A75AC2" w:rsidRDefault="00A75AC2" w:rsidP="00723468">
            <w:pPr>
              <w:rPr>
                <w:lang w:val="en-GB"/>
              </w:rPr>
            </w:pPr>
          </w:p>
        </w:tc>
        <w:tc>
          <w:tcPr>
            <w:tcW w:w="1384" w:type="dxa"/>
          </w:tcPr>
          <w:p w14:paraId="3AEA8C6E" w14:textId="77777777" w:rsidR="00A75AC2" w:rsidRDefault="00A75AC2" w:rsidP="00723468">
            <w:pPr>
              <w:rPr>
                <w:lang w:val="en-GB"/>
              </w:rPr>
            </w:pPr>
          </w:p>
        </w:tc>
      </w:tr>
      <w:tr w:rsidR="00A75AC2" w14:paraId="456FEF38" w14:textId="76132D45" w:rsidTr="00A75AC2">
        <w:tc>
          <w:tcPr>
            <w:tcW w:w="1542" w:type="dxa"/>
          </w:tcPr>
          <w:p w14:paraId="6249FE90" w14:textId="77777777" w:rsidR="00A75AC2" w:rsidRDefault="00A75AC2" w:rsidP="00723468">
            <w:pPr>
              <w:rPr>
                <w:lang w:val="en-GB"/>
              </w:rPr>
            </w:pPr>
          </w:p>
        </w:tc>
        <w:tc>
          <w:tcPr>
            <w:tcW w:w="1502" w:type="dxa"/>
          </w:tcPr>
          <w:p w14:paraId="4BB7B786" w14:textId="77777777" w:rsidR="00A75AC2" w:rsidRDefault="00A75AC2" w:rsidP="00723468">
            <w:pPr>
              <w:rPr>
                <w:lang w:val="en-GB"/>
              </w:rPr>
            </w:pPr>
          </w:p>
        </w:tc>
        <w:tc>
          <w:tcPr>
            <w:tcW w:w="1729" w:type="dxa"/>
          </w:tcPr>
          <w:p w14:paraId="62086805" w14:textId="77777777" w:rsidR="00A75AC2" w:rsidRDefault="00A75AC2" w:rsidP="00723468">
            <w:pPr>
              <w:rPr>
                <w:lang w:val="en-GB"/>
              </w:rPr>
            </w:pPr>
          </w:p>
        </w:tc>
        <w:tc>
          <w:tcPr>
            <w:tcW w:w="1592" w:type="dxa"/>
          </w:tcPr>
          <w:p w14:paraId="778B6792" w14:textId="77777777" w:rsidR="00A75AC2" w:rsidRDefault="00A75AC2" w:rsidP="00723468">
            <w:pPr>
              <w:rPr>
                <w:lang w:val="en-GB"/>
              </w:rPr>
            </w:pPr>
          </w:p>
        </w:tc>
        <w:tc>
          <w:tcPr>
            <w:tcW w:w="1601" w:type="dxa"/>
          </w:tcPr>
          <w:p w14:paraId="3A11517D" w14:textId="77777777" w:rsidR="00A75AC2" w:rsidRDefault="00A75AC2" w:rsidP="00723468">
            <w:pPr>
              <w:rPr>
                <w:lang w:val="en-GB"/>
              </w:rPr>
            </w:pPr>
          </w:p>
        </w:tc>
        <w:tc>
          <w:tcPr>
            <w:tcW w:w="1384" w:type="dxa"/>
          </w:tcPr>
          <w:p w14:paraId="58BCB9B5" w14:textId="77777777" w:rsidR="00A75AC2" w:rsidRDefault="00A75AC2" w:rsidP="00723468">
            <w:pPr>
              <w:rPr>
                <w:lang w:val="en-GB"/>
              </w:rPr>
            </w:pPr>
          </w:p>
        </w:tc>
      </w:tr>
      <w:tr w:rsidR="00A75AC2" w14:paraId="058CE978" w14:textId="0E477864" w:rsidTr="00A75AC2">
        <w:tc>
          <w:tcPr>
            <w:tcW w:w="1542" w:type="dxa"/>
          </w:tcPr>
          <w:p w14:paraId="723903C5" w14:textId="77777777" w:rsidR="00A75AC2" w:rsidRDefault="00A75AC2" w:rsidP="00723468">
            <w:pPr>
              <w:rPr>
                <w:lang w:val="en-GB"/>
              </w:rPr>
            </w:pPr>
          </w:p>
        </w:tc>
        <w:tc>
          <w:tcPr>
            <w:tcW w:w="1502" w:type="dxa"/>
          </w:tcPr>
          <w:p w14:paraId="105280E6" w14:textId="77777777" w:rsidR="00A75AC2" w:rsidRDefault="00A75AC2" w:rsidP="00723468">
            <w:pPr>
              <w:rPr>
                <w:lang w:val="en-GB"/>
              </w:rPr>
            </w:pPr>
          </w:p>
        </w:tc>
        <w:tc>
          <w:tcPr>
            <w:tcW w:w="1729" w:type="dxa"/>
          </w:tcPr>
          <w:p w14:paraId="4827B36C" w14:textId="77777777" w:rsidR="00A75AC2" w:rsidRDefault="00A75AC2" w:rsidP="00723468">
            <w:pPr>
              <w:rPr>
                <w:lang w:val="en-GB"/>
              </w:rPr>
            </w:pPr>
          </w:p>
        </w:tc>
        <w:tc>
          <w:tcPr>
            <w:tcW w:w="1592" w:type="dxa"/>
          </w:tcPr>
          <w:p w14:paraId="361B1518" w14:textId="77777777" w:rsidR="00A75AC2" w:rsidRDefault="00A75AC2" w:rsidP="00723468">
            <w:pPr>
              <w:rPr>
                <w:lang w:val="en-GB"/>
              </w:rPr>
            </w:pPr>
          </w:p>
        </w:tc>
        <w:tc>
          <w:tcPr>
            <w:tcW w:w="1601" w:type="dxa"/>
          </w:tcPr>
          <w:p w14:paraId="480511E9" w14:textId="77777777" w:rsidR="00A75AC2" w:rsidRDefault="00A75AC2" w:rsidP="00723468">
            <w:pPr>
              <w:rPr>
                <w:lang w:val="en-GB"/>
              </w:rPr>
            </w:pPr>
          </w:p>
        </w:tc>
        <w:tc>
          <w:tcPr>
            <w:tcW w:w="1384" w:type="dxa"/>
          </w:tcPr>
          <w:p w14:paraId="66E24ACD" w14:textId="77777777" w:rsidR="00A75AC2" w:rsidRDefault="00A75AC2" w:rsidP="00723468">
            <w:pPr>
              <w:rPr>
                <w:lang w:val="en-GB"/>
              </w:rPr>
            </w:pPr>
          </w:p>
        </w:tc>
      </w:tr>
      <w:tr w:rsidR="00A75AC2" w14:paraId="0E8B0CD5" w14:textId="7B681ABB" w:rsidTr="00A75AC2">
        <w:tc>
          <w:tcPr>
            <w:tcW w:w="1542" w:type="dxa"/>
          </w:tcPr>
          <w:p w14:paraId="09E5618F" w14:textId="77777777" w:rsidR="00A75AC2" w:rsidRDefault="00A75AC2" w:rsidP="00723468">
            <w:pPr>
              <w:rPr>
                <w:lang w:val="en-GB"/>
              </w:rPr>
            </w:pPr>
          </w:p>
        </w:tc>
        <w:tc>
          <w:tcPr>
            <w:tcW w:w="1502" w:type="dxa"/>
          </w:tcPr>
          <w:p w14:paraId="3FDC70EF" w14:textId="77777777" w:rsidR="00A75AC2" w:rsidRDefault="00A75AC2" w:rsidP="00723468">
            <w:pPr>
              <w:rPr>
                <w:lang w:val="en-GB"/>
              </w:rPr>
            </w:pPr>
          </w:p>
        </w:tc>
        <w:tc>
          <w:tcPr>
            <w:tcW w:w="1729" w:type="dxa"/>
          </w:tcPr>
          <w:p w14:paraId="06E54D54" w14:textId="77777777" w:rsidR="00A75AC2" w:rsidRDefault="00A75AC2" w:rsidP="00723468">
            <w:pPr>
              <w:rPr>
                <w:lang w:val="en-GB"/>
              </w:rPr>
            </w:pPr>
          </w:p>
        </w:tc>
        <w:tc>
          <w:tcPr>
            <w:tcW w:w="1592" w:type="dxa"/>
          </w:tcPr>
          <w:p w14:paraId="25D45474" w14:textId="77777777" w:rsidR="00A75AC2" w:rsidRDefault="00A75AC2" w:rsidP="00723468">
            <w:pPr>
              <w:rPr>
                <w:lang w:val="en-GB"/>
              </w:rPr>
            </w:pPr>
          </w:p>
        </w:tc>
        <w:tc>
          <w:tcPr>
            <w:tcW w:w="1601" w:type="dxa"/>
          </w:tcPr>
          <w:p w14:paraId="5DB89DD0" w14:textId="77777777" w:rsidR="00A75AC2" w:rsidRDefault="00A75AC2" w:rsidP="00723468">
            <w:pPr>
              <w:rPr>
                <w:lang w:val="en-GB"/>
              </w:rPr>
            </w:pPr>
          </w:p>
        </w:tc>
        <w:tc>
          <w:tcPr>
            <w:tcW w:w="1384" w:type="dxa"/>
          </w:tcPr>
          <w:p w14:paraId="63D676A3" w14:textId="77777777" w:rsidR="00A75AC2" w:rsidRDefault="00A75AC2" w:rsidP="00723468">
            <w:pPr>
              <w:rPr>
                <w:lang w:val="en-GB"/>
              </w:rPr>
            </w:pPr>
          </w:p>
        </w:tc>
      </w:tr>
      <w:tr w:rsidR="00A75AC2" w14:paraId="06BD055C" w14:textId="61317D20" w:rsidTr="00A75AC2">
        <w:tc>
          <w:tcPr>
            <w:tcW w:w="1542" w:type="dxa"/>
          </w:tcPr>
          <w:p w14:paraId="09EA5D10" w14:textId="77777777" w:rsidR="00A75AC2" w:rsidRDefault="00A75AC2" w:rsidP="00723468">
            <w:pPr>
              <w:rPr>
                <w:lang w:val="en-GB"/>
              </w:rPr>
            </w:pPr>
          </w:p>
        </w:tc>
        <w:tc>
          <w:tcPr>
            <w:tcW w:w="1502" w:type="dxa"/>
          </w:tcPr>
          <w:p w14:paraId="7F00F577" w14:textId="77777777" w:rsidR="00A75AC2" w:rsidRDefault="00A75AC2" w:rsidP="00723468">
            <w:pPr>
              <w:rPr>
                <w:lang w:val="en-GB"/>
              </w:rPr>
            </w:pPr>
          </w:p>
        </w:tc>
        <w:tc>
          <w:tcPr>
            <w:tcW w:w="1729" w:type="dxa"/>
          </w:tcPr>
          <w:p w14:paraId="62D5E172" w14:textId="77777777" w:rsidR="00A75AC2" w:rsidRDefault="00A75AC2" w:rsidP="00723468">
            <w:pPr>
              <w:rPr>
                <w:lang w:val="en-GB"/>
              </w:rPr>
            </w:pPr>
          </w:p>
        </w:tc>
        <w:tc>
          <w:tcPr>
            <w:tcW w:w="1592" w:type="dxa"/>
          </w:tcPr>
          <w:p w14:paraId="4236BF23" w14:textId="77777777" w:rsidR="00A75AC2" w:rsidRDefault="00A75AC2" w:rsidP="00723468">
            <w:pPr>
              <w:rPr>
                <w:lang w:val="en-GB"/>
              </w:rPr>
            </w:pPr>
          </w:p>
        </w:tc>
        <w:tc>
          <w:tcPr>
            <w:tcW w:w="1601" w:type="dxa"/>
          </w:tcPr>
          <w:p w14:paraId="494F6AB2" w14:textId="77777777" w:rsidR="00A75AC2" w:rsidRDefault="00A75AC2" w:rsidP="00723468">
            <w:pPr>
              <w:rPr>
                <w:lang w:val="en-GB"/>
              </w:rPr>
            </w:pPr>
          </w:p>
        </w:tc>
        <w:tc>
          <w:tcPr>
            <w:tcW w:w="1384" w:type="dxa"/>
          </w:tcPr>
          <w:p w14:paraId="429A1C07" w14:textId="77777777" w:rsidR="00A75AC2" w:rsidRDefault="00A75AC2" w:rsidP="00723468">
            <w:pPr>
              <w:rPr>
                <w:lang w:val="en-GB"/>
              </w:rPr>
            </w:pPr>
          </w:p>
        </w:tc>
      </w:tr>
      <w:tr w:rsidR="00A75AC2" w14:paraId="4D5BFA23" w14:textId="538630A0" w:rsidTr="00A75AC2">
        <w:tc>
          <w:tcPr>
            <w:tcW w:w="1542" w:type="dxa"/>
          </w:tcPr>
          <w:p w14:paraId="1C8353F8" w14:textId="77777777" w:rsidR="00A75AC2" w:rsidRDefault="00A75AC2" w:rsidP="00723468">
            <w:pPr>
              <w:rPr>
                <w:lang w:val="en-GB"/>
              </w:rPr>
            </w:pPr>
          </w:p>
        </w:tc>
        <w:tc>
          <w:tcPr>
            <w:tcW w:w="1502" w:type="dxa"/>
          </w:tcPr>
          <w:p w14:paraId="753917C0" w14:textId="77777777" w:rsidR="00A75AC2" w:rsidRDefault="00A75AC2" w:rsidP="00723468">
            <w:pPr>
              <w:rPr>
                <w:lang w:val="en-GB"/>
              </w:rPr>
            </w:pPr>
          </w:p>
        </w:tc>
        <w:tc>
          <w:tcPr>
            <w:tcW w:w="1729" w:type="dxa"/>
          </w:tcPr>
          <w:p w14:paraId="2A51059B" w14:textId="77777777" w:rsidR="00A75AC2" w:rsidRDefault="00A75AC2" w:rsidP="00723468">
            <w:pPr>
              <w:rPr>
                <w:lang w:val="en-GB"/>
              </w:rPr>
            </w:pPr>
          </w:p>
        </w:tc>
        <w:tc>
          <w:tcPr>
            <w:tcW w:w="1592" w:type="dxa"/>
          </w:tcPr>
          <w:p w14:paraId="0150D1AC" w14:textId="77777777" w:rsidR="00A75AC2" w:rsidRDefault="00A75AC2" w:rsidP="00723468">
            <w:pPr>
              <w:rPr>
                <w:lang w:val="en-GB"/>
              </w:rPr>
            </w:pPr>
          </w:p>
        </w:tc>
        <w:tc>
          <w:tcPr>
            <w:tcW w:w="1601" w:type="dxa"/>
          </w:tcPr>
          <w:p w14:paraId="1488561B" w14:textId="77777777" w:rsidR="00A75AC2" w:rsidRDefault="00A75AC2" w:rsidP="00723468">
            <w:pPr>
              <w:rPr>
                <w:lang w:val="en-GB"/>
              </w:rPr>
            </w:pPr>
          </w:p>
        </w:tc>
        <w:tc>
          <w:tcPr>
            <w:tcW w:w="1384" w:type="dxa"/>
          </w:tcPr>
          <w:p w14:paraId="5E0444B6" w14:textId="77777777" w:rsidR="00A75AC2" w:rsidRDefault="00A75AC2" w:rsidP="00723468">
            <w:pPr>
              <w:rPr>
                <w:lang w:val="en-GB"/>
              </w:rPr>
            </w:pPr>
          </w:p>
        </w:tc>
      </w:tr>
      <w:tr w:rsidR="00A75AC2" w14:paraId="6F204057" w14:textId="3AEBA974" w:rsidTr="00A75AC2">
        <w:tc>
          <w:tcPr>
            <w:tcW w:w="1542" w:type="dxa"/>
          </w:tcPr>
          <w:p w14:paraId="5C97FC20" w14:textId="77777777" w:rsidR="00A75AC2" w:rsidRDefault="00A75AC2" w:rsidP="00723468">
            <w:pPr>
              <w:rPr>
                <w:lang w:val="en-GB"/>
              </w:rPr>
            </w:pPr>
          </w:p>
        </w:tc>
        <w:tc>
          <w:tcPr>
            <w:tcW w:w="1502" w:type="dxa"/>
          </w:tcPr>
          <w:p w14:paraId="4DB02CE5" w14:textId="77777777" w:rsidR="00A75AC2" w:rsidRDefault="00A75AC2" w:rsidP="00723468">
            <w:pPr>
              <w:rPr>
                <w:lang w:val="en-GB"/>
              </w:rPr>
            </w:pPr>
          </w:p>
        </w:tc>
        <w:tc>
          <w:tcPr>
            <w:tcW w:w="1729" w:type="dxa"/>
          </w:tcPr>
          <w:p w14:paraId="7AB71BCA" w14:textId="77777777" w:rsidR="00A75AC2" w:rsidRDefault="00A75AC2" w:rsidP="00723468">
            <w:pPr>
              <w:rPr>
                <w:lang w:val="en-GB"/>
              </w:rPr>
            </w:pPr>
          </w:p>
        </w:tc>
        <w:tc>
          <w:tcPr>
            <w:tcW w:w="1592" w:type="dxa"/>
          </w:tcPr>
          <w:p w14:paraId="5DB202FA" w14:textId="77777777" w:rsidR="00A75AC2" w:rsidRDefault="00A75AC2" w:rsidP="00723468">
            <w:pPr>
              <w:rPr>
                <w:lang w:val="en-GB"/>
              </w:rPr>
            </w:pPr>
          </w:p>
        </w:tc>
        <w:tc>
          <w:tcPr>
            <w:tcW w:w="1601" w:type="dxa"/>
          </w:tcPr>
          <w:p w14:paraId="11290E8F" w14:textId="77777777" w:rsidR="00A75AC2" w:rsidRDefault="00A75AC2" w:rsidP="00723468">
            <w:pPr>
              <w:rPr>
                <w:lang w:val="en-GB"/>
              </w:rPr>
            </w:pPr>
          </w:p>
        </w:tc>
        <w:tc>
          <w:tcPr>
            <w:tcW w:w="1384" w:type="dxa"/>
          </w:tcPr>
          <w:p w14:paraId="7DD09609" w14:textId="77777777" w:rsidR="00A75AC2" w:rsidRDefault="00A75AC2" w:rsidP="00723468">
            <w:pPr>
              <w:rPr>
                <w:lang w:val="en-GB"/>
              </w:rPr>
            </w:pPr>
          </w:p>
        </w:tc>
      </w:tr>
      <w:tr w:rsidR="00A75AC2" w14:paraId="17E83725" w14:textId="5A5FBAE6" w:rsidTr="00A75AC2">
        <w:tc>
          <w:tcPr>
            <w:tcW w:w="1542" w:type="dxa"/>
          </w:tcPr>
          <w:p w14:paraId="435132E1" w14:textId="77777777" w:rsidR="00A75AC2" w:rsidRDefault="00A75AC2" w:rsidP="00723468">
            <w:pPr>
              <w:rPr>
                <w:lang w:val="en-GB"/>
              </w:rPr>
            </w:pPr>
          </w:p>
        </w:tc>
        <w:tc>
          <w:tcPr>
            <w:tcW w:w="1502" w:type="dxa"/>
          </w:tcPr>
          <w:p w14:paraId="1D19C386" w14:textId="77777777" w:rsidR="00A75AC2" w:rsidRDefault="00A75AC2" w:rsidP="00723468">
            <w:pPr>
              <w:rPr>
                <w:lang w:val="en-GB"/>
              </w:rPr>
            </w:pPr>
          </w:p>
        </w:tc>
        <w:tc>
          <w:tcPr>
            <w:tcW w:w="1729" w:type="dxa"/>
          </w:tcPr>
          <w:p w14:paraId="006EA0BC" w14:textId="77777777" w:rsidR="00A75AC2" w:rsidRDefault="00A75AC2" w:rsidP="00723468">
            <w:pPr>
              <w:rPr>
                <w:lang w:val="en-GB"/>
              </w:rPr>
            </w:pPr>
          </w:p>
        </w:tc>
        <w:tc>
          <w:tcPr>
            <w:tcW w:w="1592" w:type="dxa"/>
          </w:tcPr>
          <w:p w14:paraId="2F18F07D" w14:textId="77777777" w:rsidR="00A75AC2" w:rsidRDefault="00A75AC2" w:rsidP="00723468">
            <w:pPr>
              <w:rPr>
                <w:lang w:val="en-GB"/>
              </w:rPr>
            </w:pPr>
          </w:p>
        </w:tc>
        <w:tc>
          <w:tcPr>
            <w:tcW w:w="1601" w:type="dxa"/>
          </w:tcPr>
          <w:p w14:paraId="6ACEBAFC" w14:textId="77777777" w:rsidR="00A75AC2" w:rsidRDefault="00A75AC2" w:rsidP="00723468">
            <w:pPr>
              <w:rPr>
                <w:lang w:val="en-GB"/>
              </w:rPr>
            </w:pPr>
          </w:p>
        </w:tc>
        <w:tc>
          <w:tcPr>
            <w:tcW w:w="1384" w:type="dxa"/>
          </w:tcPr>
          <w:p w14:paraId="2591E4BF" w14:textId="77777777" w:rsidR="00A75AC2" w:rsidRDefault="00A75AC2" w:rsidP="00723468">
            <w:pPr>
              <w:rPr>
                <w:lang w:val="en-GB"/>
              </w:rPr>
            </w:pPr>
          </w:p>
        </w:tc>
      </w:tr>
      <w:tr w:rsidR="00A75AC2" w14:paraId="59EC2D42" w14:textId="6F4A3838" w:rsidTr="00A75AC2">
        <w:tc>
          <w:tcPr>
            <w:tcW w:w="1542" w:type="dxa"/>
          </w:tcPr>
          <w:p w14:paraId="42983D5D" w14:textId="77777777" w:rsidR="00A75AC2" w:rsidRDefault="00A75AC2" w:rsidP="00723468">
            <w:pPr>
              <w:rPr>
                <w:lang w:val="en-GB"/>
              </w:rPr>
            </w:pPr>
          </w:p>
        </w:tc>
        <w:tc>
          <w:tcPr>
            <w:tcW w:w="1502" w:type="dxa"/>
          </w:tcPr>
          <w:p w14:paraId="6576F818" w14:textId="77777777" w:rsidR="00A75AC2" w:rsidRDefault="00A75AC2" w:rsidP="00723468">
            <w:pPr>
              <w:rPr>
                <w:lang w:val="en-GB"/>
              </w:rPr>
            </w:pPr>
          </w:p>
        </w:tc>
        <w:tc>
          <w:tcPr>
            <w:tcW w:w="1729" w:type="dxa"/>
          </w:tcPr>
          <w:p w14:paraId="20188C5C" w14:textId="77777777" w:rsidR="00A75AC2" w:rsidRDefault="00A75AC2" w:rsidP="00723468">
            <w:pPr>
              <w:rPr>
                <w:lang w:val="en-GB"/>
              </w:rPr>
            </w:pPr>
          </w:p>
        </w:tc>
        <w:tc>
          <w:tcPr>
            <w:tcW w:w="1592" w:type="dxa"/>
          </w:tcPr>
          <w:p w14:paraId="68CD5E84" w14:textId="77777777" w:rsidR="00A75AC2" w:rsidRDefault="00A75AC2" w:rsidP="00723468">
            <w:pPr>
              <w:rPr>
                <w:lang w:val="en-GB"/>
              </w:rPr>
            </w:pPr>
          </w:p>
        </w:tc>
        <w:tc>
          <w:tcPr>
            <w:tcW w:w="1601" w:type="dxa"/>
          </w:tcPr>
          <w:p w14:paraId="29AFD787" w14:textId="77777777" w:rsidR="00A75AC2" w:rsidRDefault="00A75AC2" w:rsidP="00723468">
            <w:pPr>
              <w:rPr>
                <w:lang w:val="en-GB"/>
              </w:rPr>
            </w:pPr>
          </w:p>
        </w:tc>
        <w:tc>
          <w:tcPr>
            <w:tcW w:w="1384" w:type="dxa"/>
          </w:tcPr>
          <w:p w14:paraId="0D5BBBF3" w14:textId="77777777" w:rsidR="00A75AC2" w:rsidRDefault="00A75AC2" w:rsidP="00723468">
            <w:pPr>
              <w:rPr>
                <w:lang w:val="en-GB"/>
              </w:rPr>
            </w:pPr>
          </w:p>
        </w:tc>
      </w:tr>
      <w:tr w:rsidR="00A75AC2" w14:paraId="7F5F0FE8" w14:textId="0F8D329B" w:rsidTr="00A75AC2">
        <w:tc>
          <w:tcPr>
            <w:tcW w:w="1542" w:type="dxa"/>
          </w:tcPr>
          <w:p w14:paraId="5491274D" w14:textId="77777777" w:rsidR="00A75AC2" w:rsidRDefault="00A75AC2" w:rsidP="00723468">
            <w:pPr>
              <w:rPr>
                <w:lang w:val="en-GB"/>
              </w:rPr>
            </w:pPr>
          </w:p>
        </w:tc>
        <w:tc>
          <w:tcPr>
            <w:tcW w:w="1502" w:type="dxa"/>
          </w:tcPr>
          <w:p w14:paraId="5F9D8525" w14:textId="77777777" w:rsidR="00A75AC2" w:rsidRDefault="00A75AC2" w:rsidP="00723468">
            <w:pPr>
              <w:rPr>
                <w:lang w:val="en-GB"/>
              </w:rPr>
            </w:pPr>
          </w:p>
        </w:tc>
        <w:tc>
          <w:tcPr>
            <w:tcW w:w="1729" w:type="dxa"/>
          </w:tcPr>
          <w:p w14:paraId="3909C3EB" w14:textId="77777777" w:rsidR="00A75AC2" w:rsidRDefault="00A75AC2" w:rsidP="00723468">
            <w:pPr>
              <w:rPr>
                <w:lang w:val="en-GB"/>
              </w:rPr>
            </w:pPr>
          </w:p>
        </w:tc>
        <w:tc>
          <w:tcPr>
            <w:tcW w:w="1592" w:type="dxa"/>
          </w:tcPr>
          <w:p w14:paraId="46ADE24A" w14:textId="77777777" w:rsidR="00A75AC2" w:rsidRDefault="00A75AC2" w:rsidP="00723468">
            <w:pPr>
              <w:rPr>
                <w:lang w:val="en-GB"/>
              </w:rPr>
            </w:pPr>
          </w:p>
        </w:tc>
        <w:tc>
          <w:tcPr>
            <w:tcW w:w="1601" w:type="dxa"/>
          </w:tcPr>
          <w:p w14:paraId="17CF1B82" w14:textId="77777777" w:rsidR="00A75AC2" w:rsidRDefault="00A75AC2" w:rsidP="00723468">
            <w:pPr>
              <w:rPr>
                <w:lang w:val="en-GB"/>
              </w:rPr>
            </w:pPr>
          </w:p>
        </w:tc>
        <w:tc>
          <w:tcPr>
            <w:tcW w:w="1384" w:type="dxa"/>
          </w:tcPr>
          <w:p w14:paraId="36DB2640" w14:textId="77777777" w:rsidR="00A75AC2" w:rsidRDefault="00A75AC2" w:rsidP="00723468">
            <w:pPr>
              <w:rPr>
                <w:lang w:val="en-GB"/>
              </w:rPr>
            </w:pPr>
          </w:p>
        </w:tc>
      </w:tr>
      <w:tr w:rsidR="00A75AC2" w14:paraId="55A605D1" w14:textId="54AE2E18" w:rsidTr="00A75AC2">
        <w:tc>
          <w:tcPr>
            <w:tcW w:w="1542" w:type="dxa"/>
          </w:tcPr>
          <w:p w14:paraId="7CF234A2" w14:textId="77777777" w:rsidR="00A75AC2" w:rsidRDefault="00A75AC2" w:rsidP="00723468">
            <w:pPr>
              <w:rPr>
                <w:lang w:val="en-GB"/>
              </w:rPr>
            </w:pPr>
          </w:p>
        </w:tc>
        <w:tc>
          <w:tcPr>
            <w:tcW w:w="1502" w:type="dxa"/>
          </w:tcPr>
          <w:p w14:paraId="72DA26B5" w14:textId="77777777" w:rsidR="00A75AC2" w:rsidRDefault="00A75AC2" w:rsidP="00723468">
            <w:pPr>
              <w:rPr>
                <w:lang w:val="en-GB"/>
              </w:rPr>
            </w:pPr>
          </w:p>
        </w:tc>
        <w:tc>
          <w:tcPr>
            <w:tcW w:w="1729" w:type="dxa"/>
          </w:tcPr>
          <w:p w14:paraId="360BD156" w14:textId="77777777" w:rsidR="00A75AC2" w:rsidRDefault="00A75AC2" w:rsidP="00723468">
            <w:pPr>
              <w:rPr>
                <w:lang w:val="en-GB"/>
              </w:rPr>
            </w:pPr>
          </w:p>
        </w:tc>
        <w:tc>
          <w:tcPr>
            <w:tcW w:w="1592" w:type="dxa"/>
          </w:tcPr>
          <w:p w14:paraId="7E6A9326" w14:textId="77777777" w:rsidR="00A75AC2" w:rsidRDefault="00A75AC2" w:rsidP="00723468">
            <w:pPr>
              <w:rPr>
                <w:lang w:val="en-GB"/>
              </w:rPr>
            </w:pPr>
          </w:p>
        </w:tc>
        <w:tc>
          <w:tcPr>
            <w:tcW w:w="1601" w:type="dxa"/>
          </w:tcPr>
          <w:p w14:paraId="599C20E0" w14:textId="77777777" w:rsidR="00A75AC2" w:rsidRDefault="00A75AC2" w:rsidP="00723468">
            <w:pPr>
              <w:rPr>
                <w:lang w:val="en-GB"/>
              </w:rPr>
            </w:pPr>
          </w:p>
        </w:tc>
        <w:tc>
          <w:tcPr>
            <w:tcW w:w="1384" w:type="dxa"/>
          </w:tcPr>
          <w:p w14:paraId="392B2543" w14:textId="77777777" w:rsidR="00A75AC2" w:rsidRDefault="00A75AC2" w:rsidP="00723468">
            <w:pPr>
              <w:rPr>
                <w:lang w:val="en-GB"/>
              </w:rPr>
            </w:pPr>
          </w:p>
        </w:tc>
      </w:tr>
      <w:tr w:rsidR="00A75AC2" w14:paraId="7BE3C57E" w14:textId="3C73F579" w:rsidTr="00A75AC2">
        <w:tc>
          <w:tcPr>
            <w:tcW w:w="1542" w:type="dxa"/>
          </w:tcPr>
          <w:p w14:paraId="5D3A17F6" w14:textId="77777777" w:rsidR="00A75AC2" w:rsidRDefault="00A75AC2" w:rsidP="00723468">
            <w:pPr>
              <w:rPr>
                <w:lang w:val="en-GB"/>
              </w:rPr>
            </w:pPr>
          </w:p>
        </w:tc>
        <w:tc>
          <w:tcPr>
            <w:tcW w:w="1502" w:type="dxa"/>
          </w:tcPr>
          <w:p w14:paraId="18B62DEF" w14:textId="77777777" w:rsidR="00A75AC2" w:rsidRDefault="00A75AC2" w:rsidP="00723468">
            <w:pPr>
              <w:rPr>
                <w:lang w:val="en-GB"/>
              </w:rPr>
            </w:pPr>
          </w:p>
        </w:tc>
        <w:tc>
          <w:tcPr>
            <w:tcW w:w="1729" w:type="dxa"/>
          </w:tcPr>
          <w:p w14:paraId="200CDD14" w14:textId="77777777" w:rsidR="00A75AC2" w:rsidRDefault="00A75AC2" w:rsidP="00723468">
            <w:pPr>
              <w:rPr>
                <w:lang w:val="en-GB"/>
              </w:rPr>
            </w:pPr>
          </w:p>
        </w:tc>
        <w:tc>
          <w:tcPr>
            <w:tcW w:w="1592" w:type="dxa"/>
          </w:tcPr>
          <w:p w14:paraId="288A0509" w14:textId="77777777" w:rsidR="00A75AC2" w:rsidRDefault="00A75AC2" w:rsidP="00723468">
            <w:pPr>
              <w:rPr>
                <w:lang w:val="en-GB"/>
              </w:rPr>
            </w:pPr>
          </w:p>
        </w:tc>
        <w:tc>
          <w:tcPr>
            <w:tcW w:w="1601" w:type="dxa"/>
          </w:tcPr>
          <w:p w14:paraId="51EFE9A8" w14:textId="77777777" w:rsidR="00A75AC2" w:rsidRDefault="00A75AC2" w:rsidP="00723468">
            <w:pPr>
              <w:rPr>
                <w:lang w:val="en-GB"/>
              </w:rPr>
            </w:pPr>
          </w:p>
        </w:tc>
        <w:tc>
          <w:tcPr>
            <w:tcW w:w="1384" w:type="dxa"/>
          </w:tcPr>
          <w:p w14:paraId="479CF035" w14:textId="77777777" w:rsidR="00A75AC2" w:rsidRDefault="00A75AC2" w:rsidP="00723468">
            <w:pPr>
              <w:rPr>
                <w:lang w:val="en-GB"/>
              </w:rPr>
            </w:pPr>
          </w:p>
        </w:tc>
      </w:tr>
      <w:tr w:rsidR="00A75AC2" w14:paraId="15D14FE3" w14:textId="23CCE986" w:rsidTr="00A75AC2">
        <w:tc>
          <w:tcPr>
            <w:tcW w:w="1542" w:type="dxa"/>
          </w:tcPr>
          <w:p w14:paraId="3094060D" w14:textId="77777777" w:rsidR="00A75AC2" w:rsidRDefault="00A75AC2" w:rsidP="00723468">
            <w:pPr>
              <w:rPr>
                <w:lang w:val="en-GB"/>
              </w:rPr>
            </w:pPr>
          </w:p>
        </w:tc>
        <w:tc>
          <w:tcPr>
            <w:tcW w:w="1502" w:type="dxa"/>
          </w:tcPr>
          <w:p w14:paraId="39B8F2C5" w14:textId="77777777" w:rsidR="00A75AC2" w:rsidRDefault="00A75AC2" w:rsidP="00723468">
            <w:pPr>
              <w:rPr>
                <w:lang w:val="en-GB"/>
              </w:rPr>
            </w:pPr>
          </w:p>
        </w:tc>
        <w:tc>
          <w:tcPr>
            <w:tcW w:w="1729" w:type="dxa"/>
          </w:tcPr>
          <w:p w14:paraId="07464570" w14:textId="77777777" w:rsidR="00A75AC2" w:rsidRDefault="00A75AC2" w:rsidP="00723468">
            <w:pPr>
              <w:rPr>
                <w:lang w:val="en-GB"/>
              </w:rPr>
            </w:pPr>
          </w:p>
        </w:tc>
        <w:tc>
          <w:tcPr>
            <w:tcW w:w="1592" w:type="dxa"/>
          </w:tcPr>
          <w:p w14:paraId="2DE2934F" w14:textId="77777777" w:rsidR="00A75AC2" w:rsidRDefault="00A75AC2" w:rsidP="00723468">
            <w:pPr>
              <w:rPr>
                <w:lang w:val="en-GB"/>
              </w:rPr>
            </w:pPr>
          </w:p>
        </w:tc>
        <w:tc>
          <w:tcPr>
            <w:tcW w:w="1601" w:type="dxa"/>
          </w:tcPr>
          <w:p w14:paraId="683A0B53" w14:textId="77777777" w:rsidR="00A75AC2" w:rsidRDefault="00A75AC2" w:rsidP="00723468">
            <w:pPr>
              <w:rPr>
                <w:lang w:val="en-GB"/>
              </w:rPr>
            </w:pPr>
          </w:p>
        </w:tc>
        <w:tc>
          <w:tcPr>
            <w:tcW w:w="1384" w:type="dxa"/>
          </w:tcPr>
          <w:p w14:paraId="07276F42" w14:textId="77777777" w:rsidR="00A75AC2" w:rsidRDefault="00A75AC2" w:rsidP="00723468">
            <w:pPr>
              <w:rPr>
                <w:lang w:val="en-GB"/>
              </w:rPr>
            </w:pPr>
          </w:p>
        </w:tc>
      </w:tr>
      <w:tr w:rsidR="00A75AC2" w14:paraId="67FC9768" w14:textId="7B8A630E" w:rsidTr="00A75AC2">
        <w:tc>
          <w:tcPr>
            <w:tcW w:w="1542" w:type="dxa"/>
          </w:tcPr>
          <w:p w14:paraId="19F27E0D" w14:textId="77777777" w:rsidR="00A75AC2" w:rsidRDefault="00A75AC2" w:rsidP="00723468">
            <w:pPr>
              <w:rPr>
                <w:lang w:val="en-GB"/>
              </w:rPr>
            </w:pPr>
          </w:p>
        </w:tc>
        <w:tc>
          <w:tcPr>
            <w:tcW w:w="1502" w:type="dxa"/>
          </w:tcPr>
          <w:p w14:paraId="06DA7040" w14:textId="77777777" w:rsidR="00A75AC2" w:rsidRDefault="00A75AC2" w:rsidP="00723468">
            <w:pPr>
              <w:rPr>
                <w:lang w:val="en-GB"/>
              </w:rPr>
            </w:pPr>
          </w:p>
        </w:tc>
        <w:tc>
          <w:tcPr>
            <w:tcW w:w="1729" w:type="dxa"/>
          </w:tcPr>
          <w:p w14:paraId="0510EB38" w14:textId="77777777" w:rsidR="00A75AC2" w:rsidRDefault="00A75AC2" w:rsidP="00723468">
            <w:pPr>
              <w:rPr>
                <w:lang w:val="en-GB"/>
              </w:rPr>
            </w:pPr>
          </w:p>
        </w:tc>
        <w:tc>
          <w:tcPr>
            <w:tcW w:w="1592" w:type="dxa"/>
          </w:tcPr>
          <w:p w14:paraId="751C7E02" w14:textId="77777777" w:rsidR="00A75AC2" w:rsidRDefault="00A75AC2" w:rsidP="00723468">
            <w:pPr>
              <w:rPr>
                <w:lang w:val="en-GB"/>
              </w:rPr>
            </w:pPr>
          </w:p>
        </w:tc>
        <w:tc>
          <w:tcPr>
            <w:tcW w:w="1601" w:type="dxa"/>
          </w:tcPr>
          <w:p w14:paraId="611B1B8B" w14:textId="77777777" w:rsidR="00A75AC2" w:rsidRDefault="00A75AC2" w:rsidP="00723468">
            <w:pPr>
              <w:rPr>
                <w:lang w:val="en-GB"/>
              </w:rPr>
            </w:pPr>
          </w:p>
        </w:tc>
        <w:tc>
          <w:tcPr>
            <w:tcW w:w="1384" w:type="dxa"/>
          </w:tcPr>
          <w:p w14:paraId="070712B1" w14:textId="77777777" w:rsidR="00A75AC2" w:rsidRDefault="00A75AC2" w:rsidP="00723468">
            <w:pPr>
              <w:rPr>
                <w:lang w:val="en-GB"/>
              </w:rPr>
            </w:pPr>
          </w:p>
        </w:tc>
      </w:tr>
      <w:tr w:rsidR="00A75AC2" w14:paraId="6F373B43" w14:textId="3AD8CD6D" w:rsidTr="00A75AC2">
        <w:tc>
          <w:tcPr>
            <w:tcW w:w="1542" w:type="dxa"/>
          </w:tcPr>
          <w:p w14:paraId="604970E8" w14:textId="77777777" w:rsidR="00A75AC2" w:rsidRDefault="00A75AC2" w:rsidP="00723468">
            <w:pPr>
              <w:rPr>
                <w:lang w:val="en-GB"/>
              </w:rPr>
            </w:pPr>
          </w:p>
        </w:tc>
        <w:tc>
          <w:tcPr>
            <w:tcW w:w="1502" w:type="dxa"/>
          </w:tcPr>
          <w:p w14:paraId="7C7D6558" w14:textId="77777777" w:rsidR="00A75AC2" w:rsidRDefault="00A75AC2" w:rsidP="00723468">
            <w:pPr>
              <w:rPr>
                <w:lang w:val="en-GB"/>
              </w:rPr>
            </w:pPr>
          </w:p>
        </w:tc>
        <w:tc>
          <w:tcPr>
            <w:tcW w:w="1729" w:type="dxa"/>
          </w:tcPr>
          <w:p w14:paraId="71A5E4D7" w14:textId="77777777" w:rsidR="00A75AC2" w:rsidRDefault="00A75AC2" w:rsidP="00723468">
            <w:pPr>
              <w:rPr>
                <w:lang w:val="en-GB"/>
              </w:rPr>
            </w:pPr>
          </w:p>
        </w:tc>
        <w:tc>
          <w:tcPr>
            <w:tcW w:w="1592" w:type="dxa"/>
          </w:tcPr>
          <w:p w14:paraId="04490053" w14:textId="77777777" w:rsidR="00A75AC2" w:rsidRDefault="00A75AC2" w:rsidP="00723468">
            <w:pPr>
              <w:rPr>
                <w:lang w:val="en-GB"/>
              </w:rPr>
            </w:pPr>
          </w:p>
        </w:tc>
        <w:tc>
          <w:tcPr>
            <w:tcW w:w="1601" w:type="dxa"/>
          </w:tcPr>
          <w:p w14:paraId="7F9E1922" w14:textId="77777777" w:rsidR="00A75AC2" w:rsidRDefault="00A75AC2" w:rsidP="00723468">
            <w:pPr>
              <w:rPr>
                <w:lang w:val="en-GB"/>
              </w:rPr>
            </w:pPr>
          </w:p>
        </w:tc>
        <w:tc>
          <w:tcPr>
            <w:tcW w:w="1384" w:type="dxa"/>
          </w:tcPr>
          <w:p w14:paraId="2A4D9D33" w14:textId="77777777" w:rsidR="00A75AC2" w:rsidRDefault="00A75AC2" w:rsidP="00723468">
            <w:pPr>
              <w:rPr>
                <w:lang w:val="en-GB"/>
              </w:rPr>
            </w:pPr>
          </w:p>
        </w:tc>
      </w:tr>
      <w:tr w:rsidR="00A75AC2" w14:paraId="1FCF6858" w14:textId="7AE20772" w:rsidTr="00A75AC2">
        <w:tc>
          <w:tcPr>
            <w:tcW w:w="1542" w:type="dxa"/>
          </w:tcPr>
          <w:p w14:paraId="34E97ABE" w14:textId="77777777" w:rsidR="00A75AC2" w:rsidRDefault="00A75AC2" w:rsidP="00723468">
            <w:pPr>
              <w:rPr>
                <w:lang w:val="en-GB"/>
              </w:rPr>
            </w:pPr>
          </w:p>
        </w:tc>
        <w:tc>
          <w:tcPr>
            <w:tcW w:w="1502" w:type="dxa"/>
          </w:tcPr>
          <w:p w14:paraId="7C16992C" w14:textId="77777777" w:rsidR="00A75AC2" w:rsidRDefault="00A75AC2" w:rsidP="00723468">
            <w:pPr>
              <w:rPr>
                <w:lang w:val="en-GB"/>
              </w:rPr>
            </w:pPr>
          </w:p>
        </w:tc>
        <w:tc>
          <w:tcPr>
            <w:tcW w:w="1729" w:type="dxa"/>
          </w:tcPr>
          <w:p w14:paraId="09FF1823" w14:textId="77777777" w:rsidR="00A75AC2" w:rsidRDefault="00A75AC2" w:rsidP="00723468">
            <w:pPr>
              <w:rPr>
                <w:lang w:val="en-GB"/>
              </w:rPr>
            </w:pPr>
          </w:p>
        </w:tc>
        <w:tc>
          <w:tcPr>
            <w:tcW w:w="1592" w:type="dxa"/>
          </w:tcPr>
          <w:p w14:paraId="1A4DA09A" w14:textId="77777777" w:rsidR="00A75AC2" w:rsidRDefault="00A75AC2" w:rsidP="00723468">
            <w:pPr>
              <w:rPr>
                <w:lang w:val="en-GB"/>
              </w:rPr>
            </w:pPr>
          </w:p>
        </w:tc>
        <w:tc>
          <w:tcPr>
            <w:tcW w:w="1601" w:type="dxa"/>
          </w:tcPr>
          <w:p w14:paraId="2F16FC07" w14:textId="77777777" w:rsidR="00A75AC2" w:rsidRDefault="00A75AC2" w:rsidP="00723468">
            <w:pPr>
              <w:rPr>
                <w:lang w:val="en-GB"/>
              </w:rPr>
            </w:pPr>
          </w:p>
        </w:tc>
        <w:tc>
          <w:tcPr>
            <w:tcW w:w="1384" w:type="dxa"/>
          </w:tcPr>
          <w:p w14:paraId="4C4490A8" w14:textId="77777777" w:rsidR="00A75AC2" w:rsidRDefault="00A75AC2" w:rsidP="00723468">
            <w:pPr>
              <w:rPr>
                <w:lang w:val="en-GB"/>
              </w:rPr>
            </w:pPr>
          </w:p>
        </w:tc>
      </w:tr>
      <w:tr w:rsidR="00A75AC2" w14:paraId="5DA4F936" w14:textId="5947E76D" w:rsidTr="00A75AC2">
        <w:tc>
          <w:tcPr>
            <w:tcW w:w="1542" w:type="dxa"/>
          </w:tcPr>
          <w:p w14:paraId="72E2BC9A" w14:textId="77777777" w:rsidR="00A75AC2" w:rsidRDefault="00A75AC2" w:rsidP="00723468">
            <w:pPr>
              <w:rPr>
                <w:lang w:val="en-GB"/>
              </w:rPr>
            </w:pPr>
          </w:p>
        </w:tc>
        <w:tc>
          <w:tcPr>
            <w:tcW w:w="1502" w:type="dxa"/>
          </w:tcPr>
          <w:p w14:paraId="7F6A4877" w14:textId="77777777" w:rsidR="00A75AC2" w:rsidRDefault="00A75AC2" w:rsidP="00723468">
            <w:pPr>
              <w:rPr>
                <w:lang w:val="en-GB"/>
              </w:rPr>
            </w:pPr>
          </w:p>
        </w:tc>
        <w:tc>
          <w:tcPr>
            <w:tcW w:w="1729" w:type="dxa"/>
          </w:tcPr>
          <w:p w14:paraId="2B6B0C6C" w14:textId="77777777" w:rsidR="00A75AC2" w:rsidRDefault="00A75AC2" w:rsidP="00723468">
            <w:pPr>
              <w:rPr>
                <w:lang w:val="en-GB"/>
              </w:rPr>
            </w:pPr>
          </w:p>
        </w:tc>
        <w:tc>
          <w:tcPr>
            <w:tcW w:w="1592" w:type="dxa"/>
          </w:tcPr>
          <w:p w14:paraId="44C84335" w14:textId="77777777" w:rsidR="00A75AC2" w:rsidRDefault="00A75AC2" w:rsidP="00723468">
            <w:pPr>
              <w:rPr>
                <w:lang w:val="en-GB"/>
              </w:rPr>
            </w:pPr>
          </w:p>
        </w:tc>
        <w:tc>
          <w:tcPr>
            <w:tcW w:w="1601" w:type="dxa"/>
          </w:tcPr>
          <w:p w14:paraId="51C71607" w14:textId="77777777" w:rsidR="00A75AC2" w:rsidRDefault="00A75AC2" w:rsidP="00723468">
            <w:pPr>
              <w:rPr>
                <w:lang w:val="en-GB"/>
              </w:rPr>
            </w:pPr>
          </w:p>
        </w:tc>
        <w:tc>
          <w:tcPr>
            <w:tcW w:w="1384" w:type="dxa"/>
          </w:tcPr>
          <w:p w14:paraId="3686303E" w14:textId="77777777" w:rsidR="00A75AC2" w:rsidRDefault="00A75AC2" w:rsidP="00723468">
            <w:pPr>
              <w:rPr>
                <w:lang w:val="en-GB"/>
              </w:rPr>
            </w:pPr>
          </w:p>
        </w:tc>
      </w:tr>
      <w:tr w:rsidR="00A75AC2" w14:paraId="31EFA0C2" w14:textId="75826ACA" w:rsidTr="00A75AC2">
        <w:tc>
          <w:tcPr>
            <w:tcW w:w="1542" w:type="dxa"/>
          </w:tcPr>
          <w:p w14:paraId="1CF97153" w14:textId="77777777" w:rsidR="00A75AC2" w:rsidRDefault="00A75AC2" w:rsidP="00723468">
            <w:pPr>
              <w:rPr>
                <w:lang w:val="en-GB"/>
              </w:rPr>
            </w:pPr>
          </w:p>
        </w:tc>
        <w:tc>
          <w:tcPr>
            <w:tcW w:w="1502" w:type="dxa"/>
          </w:tcPr>
          <w:p w14:paraId="287D356D" w14:textId="77777777" w:rsidR="00A75AC2" w:rsidRDefault="00A75AC2" w:rsidP="00723468">
            <w:pPr>
              <w:rPr>
                <w:lang w:val="en-GB"/>
              </w:rPr>
            </w:pPr>
          </w:p>
        </w:tc>
        <w:tc>
          <w:tcPr>
            <w:tcW w:w="1729" w:type="dxa"/>
          </w:tcPr>
          <w:p w14:paraId="667759E2" w14:textId="77777777" w:rsidR="00A75AC2" w:rsidRDefault="00A75AC2" w:rsidP="00723468">
            <w:pPr>
              <w:rPr>
                <w:lang w:val="en-GB"/>
              </w:rPr>
            </w:pPr>
          </w:p>
        </w:tc>
        <w:tc>
          <w:tcPr>
            <w:tcW w:w="1592" w:type="dxa"/>
          </w:tcPr>
          <w:p w14:paraId="0BC0114A" w14:textId="77777777" w:rsidR="00A75AC2" w:rsidRDefault="00A75AC2" w:rsidP="00723468">
            <w:pPr>
              <w:rPr>
                <w:lang w:val="en-GB"/>
              </w:rPr>
            </w:pPr>
          </w:p>
        </w:tc>
        <w:tc>
          <w:tcPr>
            <w:tcW w:w="1601" w:type="dxa"/>
          </w:tcPr>
          <w:p w14:paraId="626403B8" w14:textId="77777777" w:rsidR="00A75AC2" w:rsidRDefault="00A75AC2" w:rsidP="00723468">
            <w:pPr>
              <w:rPr>
                <w:lang w:val="en-GB"/>
              </w:rPr>
            </w:pPr>
          </w:p>
        </w:tc>
        <w:tc>
          <w:tcPr>
            <w:tcW w:w="1384" w:type="dxa"/>
          </w:tcPr>
          <w:p w14:paraId="2747C484" w14:textId="77777777" w:rsidR="00A75AC2" w:rsidRDefault="00A75AC2" w:rsidP="00723468">
            <w:pPr>
              <w:rPr>
                <w:lang w:val="en-GB"/>
              </w:rPr>
            </w:pPr>
          </w:p>
        </w:tc>
      </w:tr>
      <w:tr w:rsidR="00A75AC2" w14:paraId="10935045" w14:textId="0C774D00" w:rsidTr="00A75AC2">
        <w:tc>
          <w:tcPr>
            <w:tcW w:w="1542" w:type="dxa"/>
          </w:tcPr>
          <w:p w14:paraId="50F6F011" w14:textId="77777777" w:rsidR="00A75AC2" w:rsidRDefault="00A75AC2" w:rsidP="00723468">
            <w:pPr>
              <w:rPr>
                <w:lang w:val="en-GB"/>
              </w:rPr>
            </w:pPr>
          </w:p>
        </w:tc>
        <w:tc>
          <w:tcPr>
            <w:tcW w:w="1502" w:type="dxa"/>
          </w:tcPr>
          <w:p w14:paraId="2C64A1DB" w14:textId="77777777" w:rsidR="00A75AC2" w:rsidRDefault="00A75AC2" w:rsidP="00723468">
            <w:pPr>
              <w:rPr>
                <w:lang w:val="en-GB"/>
              </w:rPr>
            </w:pPr>
          </w:p>
        </w:tc>
        <w:tc>
          <w:tcPr>
            <w:tcW w:w="1729" w:type="dxa"/>
          </w:tcPr>
          <w:p w14:paraId="2BA214B1" w14:textId="77777777" w:rsidR="00A75AC2" w:rsidRDefault="00A75AC2" w:rsidP="00723468">
            <w:pPr>
              <w:rPr>
                <w:lang w:val="en-GB"/>
              </w:rPr>
            </w:pPr>
          </w:p>
        </w:tc>
        <w:tc>
          <w:tcPr>
            <w:tcW w:w="1592" w:type="dxa"/>
          </w:tcPr>
          <w:p w14:paraId="0400A4BE" w14:textId="77777777" w:rsidR="00A75AC2" w:rsidRDefault="00A75AC2" w:rsidP="00723468">
            <w:pPr>
              <w:rPr>
                <w:lang w:val="en-GB"/>
              </w:rPr>
            </w:pPr>
          </w:p>
        </w:tc>
        <w:tc>
          <w:tcPr>
            <w:tcW w:w="1601" w:type="dxa"/>
          </w:tcPr>
          <w:p w14:paraId="27BCC9B8" w14:textId="77777777" w:rsidR="00A75AC2" w:rsidRDefault="00A75AC2" w:rsidP="00723468">
            <w:pPr>
              <w:rPr>
                <w:lang w:val="en-GB"/>
              </w:rPr>
            </w:pPr>
          </w:p>
        </w:tc>
        <w:tc>
          <w:tcPr>
            <w:tcW w:w="1384" w:type="dxa"/>
          </w:tcPr>
          <w:p w14:paraId="57D1BC6F" w14:textId="77777777" w:rsidR="00A75AC2" w:rsidRDefault="00A75AC2" w:rsidP="00723468">
            <w:pPr>
              <w:rPr>
                <w:lang w:val="en-GB"/>
              </w:rPr>
            </w:pPr>
          </w:p>
        </w:tc>
      </w:tr>
      <w:tr w:rsidR="00A75AC2" w14:paraId="2FA7F4A8" w14:textId="7B11A52B" w:rsidTr="00A75AC2">
        <w:tc>
          <w:tcPr>
            <w:tcW w:w="1542" w:type="dxa"/>
          </w:tcPr>
          <w:p w14:paraId="7E7B11EC" w14:textId="77777777" w:rsidR="00A75AC2" w:rsidRDefault="00A75AC2" w:rsidP="00723468">
            <w:pPr>
              <w:rPr>
                <w:lang w:val="en-GB"/>
              </w:rPr>
            </w:pPr>
          </w:p>
        </w:tc>
        <w:tc>
          <w:tcPr>
            <w:tcW w:w="1502" w:type="dxa"/>
          </w:tcPr>
          <w:p w14:paraId="526B870A" w14:textId="77777777" w:rsidR="00A75AC2" w:rsidRDefault="00A75AC2" w:rsidP="00723468">
            <w:pPr>
              <w:rPr>
                <w:lang w:val="en-GB"/>
              </w:rPr>
            </w:pPr>
          </w:p>
        </w:tc>
        <w:tc>
          <w:tcPr>
            <w:tcW w:w="1729" w:type="dxa"/>
          </w:tcPr>
          <w:p w14:paraId="022871AA" w14:textId="77777777" w:rsidR="00A75AC2" w:rsidRDefault="00A75AC2" w:rsidP="00723468">
            <w:pPr>
              <w:rPr>
                <w:lang w:val="en-GB"/>
              </w:rPr>
            </w:pPr>
          </w:p>
        </w:tc>
        <w:tc>
          <w:tcPr>
            <w:tcW w:w="1592" w:type="dxa"/>
          </w:tcPr>
          <w:p w14:paraId="649D30DE" w14:textId="77777777" w:rsidR="00A75AC2" w:rsidRDefault="00A75AC2" w:rsidP="00723468">
            <w:pPr>
              <w:rPr>
                <w:lang w:val="en-GB"/>
              </w:rPr>
            </w:pPr>
          </w:p>
        </w:tc>
        <w:tc>
          <w:tcPr>
            <w:tcW w:w="1601" w:type="dxa"/>
          </w:tcPr>
          <w:p w14:paraId="7D6891A2" w14:textId="77777777" w:rsidR="00A75AC2" w:rsidRDefault="00A75AC2" w:rsidP="00723468">
            <w:pPr>
              <w:rPr>
                <w:lang w:val="en-GB"/>
              </w:rPr>
            </w:pPr>
          </w:p>
        </w:tc>
        <w:tc>
          <w:tcPr>
            <w:tcW w:w="1384" w:type="dxa"/>
          </w:tcPr>
          <w:p w14:paraId="6EFA65E5" w14:textId="77777777" w:rsidR="00A75AC2" w:rsidRDefault="00A75AC2" w:rsidP="00723468">
            <w:pPr>
              <w:rPr>
                <w:lang w:val="en-GB"/>
              </w:rPr>
            </w:pPr>
          </w:p>
        </w:tc>
      </w:tr>
    </w:tbl>
    <w:p w14:paraId="1AFB9AC7" w14:textId="0D459B8D" w:rsidR="00B9544A" w:rsidRDefault="00B9544A" w:rsidP="00723468">
      <w:pPr>
        <w:rPr>
          <w:lang w:val="en-GB"/>
        </w:rPr>
      </w:pPr>
    </w:p>
    <w:sectPr w:rsidR="00B954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C716" w14:textId="77777777" w:rsidR="009A49FB" w:rsidRDefault="009A49FB" w:rsidP="009A49FB">
      <w:pPr>
        <w:spacing w:after="0" w:line="240" w:lineRule="auto"/>
      </w:pPr>
      <w:r>
        <w:separator/>
      </w:r>
    </w:p>
  </w:endnote>
  <w:endnote w:type="continuationSeparator" w:id="0">
    <w:p w14:paraId="4F7CC5F4" w14:textId="77777777" w:rsidR="009A49FB" w:rsidRDefault="009A49FB" w:rsidP="009A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007" w:usb1="00000001"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173B" w14:textId="36C07116" w:rsidR="009A49FB" w:rsidRDefault="009A49FB">
    <w:pPr>
      <w:pStyle w:val="Footer"/>
    </w:pPr>
    <w:r>
      <w:rPr>
        <w:noProof/>
      </w:rPr>
      <mc:AlternateContent>
        <mc:Choice Requires="wps">
          <w:drawing>
            <wp:anchor distT="0" distB="0" distL="0" distR="0" simplePos="0" relativeHeight="251659264" behindDoc="0" locked="0" layoutInCell="1" allowOverlap="1" wp14:anchorId="0FBF3A07" wp14:editId="7408B3C9">
              <wp:simplePos x="635" y="635"/>
              <wp:positionH relativeFrom="leftMargin">
                <wp:align>left</wp:align>
              </wp:positionH>
              <wp:positionV relativeFrom="paragraph">
                <wp:posOffset>635</wp:posOffset>
              </wp:positionV>
              <wp:extent cx="443865" cy="443865"/>
              <wp:effectExtent l="0" t="0" r="6350" b="1714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CB53A" w14:textId="22514505"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BF3A07"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2CCB53A" w14:textId="22514505"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14CE" w14:textId="74D6848E" w:rsidR="009A49FB" w:rsidRDefault="009A49FB">
    <w:pPr>
      <w:pStyle w:val="Footer"/>
    </w:pPr>
    <w:r>
      <w:rPr>
        <w:noProof/>
      </w:rPr>
      <mc:AlternateContent>
        <mc:Choice Requires="wps">
          <w:drawing>
            <wp:anchor distT="0" distB="0" distL="0" distR="0" simplePos="0" relativeHeight="251660288" behindDoc="0" locked="0" layoutInCell="1" allowOverlap="1" wp14:anchorId="64A841B5" wp14:editId="237D3F88">
              <wp:simplePos x="914400" y="9429750"/>
              <wp:positionH relativeFrom="leftMargin">
                <wp:align>left</wp:align>
              </wp:positionH>
              <wp:positionV relativeFrom="paragraph">
                <wp:posOffset>635</wp:posOffset>
              </wp:positionV>
              <wp:extent cx="443865" cy="443865"/>
              <wp:effectExtent l="0" t="0" r="6350" b="17145"/>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3CA58" w14:textId="5E367B2B"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A841B5" id="_x0000_t202" coordsize="21600,21600" o:spt="202" path="m,l,21600r21600,l21600,xe">
              <v:stroke joinstyle="miter"/>
              <v:path gradientshapeok="t" o:connecttype="rect"/>
            </v:shapetype>
            <v:shape id="Text Box 3" o:spid="_x0000_s1027"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CC3CA58" w14:textId="5E367B2B"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1FD4" w14:textId="4858399C" w:rsidR="009A49FB" w:rsidRDefault="009A49FB">
    <w:pPr>
      <w:pStyle w:val="Footer"/>
    </w:pPr>
    <w:r>
      <w:rPr>
        <w:noProof/>
      </w:rPr>
      <mc:AlternateContent>
        <mc:Choice Requires="wps">
          <w:drawing>
            <wp:anchor distT="0" distB="0" distL="0" distR="0" simplePos="0" relativeHeight="251658240" behindDoc="0" locked="0" layoutInCell="1" allowOverlap="1" wp14:anchorId="7BA6FB32" wp14:editId="7840E91E">
              <wp:simplePos x="635" y="635"/>
              <wp:positionH relativeFrom="leftMargin">
                <wp:align>left</wp:align>
              </wp:positionH>
              <wp:positionV relativeFrom="paragraph">
                <wp:posOffset>635</wp:posOffset>
              </wp:positionV>
              <wp:extent cx="443865" cy="443865"/>
              <wp:effectExtent l="0" t="0" r="6350" b="1714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DE088" w14:textId="1E6B9EFE"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A6FB32"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B0DE088" w14:textId="1E6B9EFE"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5972" w14:textId="77777777" w:rsidR="009A49FB" w:rsidRDefault="009A49FB" w:rsidP="009A49FB">
      <w:pPr>
        <w:spacing w:after="0" w:line="240" w:lineRule="auto"/>
      </w:pPr>
      <w:r>
        <w:separator/>
      </w:r>
    </w:p>
  </w:footnote>
  <w:footnote w:type="continuationSeparator" w:id="0">
    <w:p w14:paraId="3614033A" w14:textId="77777777" w:rsidR="009A49FB" w:rsidRDefault="009A49FB" w:rsidP="009A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21A5" w14:textId="77777777" w:rsidR="009A49FB" w:rsidRDefault="009A4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7DF6" w14:textId="77777777" w:rsidR="009A49FB" w:rsidRDefault="009A4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A9C3" w14:textId="77777777" w:rsidR="009A49FB" w:rsidRDefault="009A4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3FA"/>
    <w:multiLevelType w:val="hybridMultilevel"/>
    <w:tmpl w:val="BA84E950"/>
    <w:lvl w:ilvl="0" w:tplc="08090001">
      <w:start w:val="1"/>
      <w:numFmt w:val="bullet"/>
      <w:lvlText w:val=""/>
      <w:lvlJc w:val="left"/>
      <w:pPr>
        <w:ind w:left="36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5B5256"/>
    <w:multiLevelType w:val="hybridMultilevel"/>
    <w:tmpl w:val="FCAA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B4AF3"/>
    <w:multiLevelType w:val="hybridMultilevel"/>
    <w:tmpl w:val="4844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36B1C"/>
    <w:multiLevelType w:val="hybridMultilevel"/>
    <w:tmpl w:val="720C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54120"/>
    <w:multiLevelType w:val="hybridMultilevel"/>
    <w:tmpl w:val="6B123216"/>
    <w:lvl w:ilvl="0" w:tplc="CC8E200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406AA"/>
    <w:multiLevelType w:val="hybridMultilevel"/>
    <w:tmpl w:val="04A0E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0591B"/>
    <w:multiLevelType w:val="hybridMultilevel"/>
    <w:tmpl w:val="EE1A13F2"/>
    <w:lvl w:ilvl="0" w:tplc="19A06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95527"/>
    <w:multiLevelType w:val="hybridMultilevel"/>
    <w:tmpl w:val="123262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65B0467"/>
    <w:multiLevelType w:val="hybridMultilevel"/>
    <w:tmpl w:val="3F40F744"/>
    <w:lvl w:ilvl="0" w:tplc="19A06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CA29A0"/>
    <w:multiLevelType w:val="hybridMultilevel"/>
    <w:tmpl w:val="3C026D08"/>
    <w:lvl w:ilvl="0" w:tplc="CC8E200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C76E9"/>
    <w:multiLevelType w:val="hybridMultilevel"/>
    <w:tmpl w:val="332A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E3A91"/>
    <w:multiLevelType w:val="hybridMultilevel"/>
    <w:tmpl w:val="18A6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83B56"/>
    <w:multiLevelType w:val="hybridMultilevel"/>
    <w:tmpl w:val="318A01F0"/>
    <w:lvl w:ilvl="0" w:tplc="CC8E200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16BE9"/>
    <w:multiLevelType w:val="hybridMultilevel"/>
    <w:tmpl w:val="5D308D3C"/>
    <w:lvl w:ilvl="0" w:tplc="102CEDE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360A0"/>
    <w:multiLevelType w:val="hybridMultilevel"/>
    <w:tmpl w:val="44D8891A"/>
    <w:lvl w:ilvl="0" w:tplc="077A51B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95EBB"/>
    <w:multiLevelType w:val="hybridMultilevel"/>
    <w:tmpl w:val="F320CCD2"/>
    <w:lvl w:ilvl="0" w:tplc="CC8E200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5023A8"/>
    <w:multiLevelType w:val="hybridMultilevel"/>
    <w:tmpl w:val="5204D992"/>
    <w:lvl w:ilvl="0" w:tplc="19A06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CA478D"/>
    <w:multiLevelType w:val="hybridMultilevel"/>
    <w:tmpl w:val="33803C06"/>
    <w:lvl w:ilvl="0" w:tplc="077A51B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DB0E28"/>
    <w:multiLevelType w:val="hybridMultilevel"/>
    <w:tmpl w:val="92E03C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37C51"/>
    <w:multiLevelType w:val="hybridMultilevel"/>
    <w:tmpl w:val="FDC0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8741D"/>
    <w:multiLevelType w:val="hybridMultilevel"/>
    <w:tmpl w:val="9328F398"/>
    <w:lvl w:ilvl="0" w:tplc="077A51B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6149401">
    <w:abstractNumId w:val="7"/>
  </w:num>
  <w:num w:numId="2" w16cid:durableId="1300306711">
    <w:abstractNumId w:val="18"/>
  </w:num>
  <w:num w:numId="3" w16cid:durableId="434445974">
    <w:abstractNumId w:val="2"/>
  </w:num>
  <w:num w:numId="4" w16cid:durableId="1830245805">
    <w:abstractNumId w:val="13"/>
  </w:num>
  <w:num w:numId="5" w16cid:durableId="112329250">
    <w:abstractNumId w:val="1"/>
  </w:num>
  <w:num w:numId="6" w16cid:durableId="1505852601">
    <w:abstractNumId w:val="3"/>
  </w:num>
  <w:num w:numId="7" w16cid:durableId="1623225014">
    <w:abstractNumId w:val="19"/>
  </w:num>
  <w:num w:numId="8" w16cid:durableId="208153272">
    <w:abstractNumId w:val="5"/>
  </w:num>
  <w:num w:numId="9" w16cid:durableId="1803769365">
    <w:abstractNumId w:val="10"/>
  </w:num>
  <w:num w:numId="10" w16cid:durableId="18822339">
    <w:abstractNumId w:val="4"/>
  </w:num>
  <w:num w:numId="11" w16cid:durableId="2040428902">
    <w:abstractNumId w:val="8"/>
  </w:num>
  <w:num w:numId="12" w16cid:durableId="337657630">
    <w:abstractNumId w:val="6"/>
  </w:num>
  <w:num w:numId="13" w16cid:durableId="19670126">
    <w:abstractNumId w:val="9"/>
  </w:num>
  <w:num w:numId="14" w16cid:durableId="613292398">
    <w:abstractNumId w:val="12"/>
  </w:num>
  <w:num w:numId="15" w16cid:durableId="648559101">
    <w:abstractNumId w:val="16"/>
  </w:num>
  <w:num w:numId="16" w16cid:durableId="331690629">
    <w:abstractNumId w:val="15"/>
  </w:num>
  <w:num w:numId="17" w16cid:durableId="302009372">
    <w:abstractNumId w:val="17"/>
  </w:num>
  <w:num w:numId="18" w16cid:durableId="1537157778">
    <w:abstractNumId w:val="14"/>
  </w:num>
  <w:num w:numId="19" w16cid:durableId="902523286">
    <w:abstractNumId w:val="20"/>
  </w:num>
  <w:num w:numId="20" w16cid:durableId="137502376">
    <w:abstractNumId w:val="0"/>
  </w:num>
  <w:num w:numId="21" w16cid:durableId="1761366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BA"/>
    <w:rsid w:val="000018B4"/>
    <w:rsid w:val="000119E2"/>
    <w:rsid w:val="00064676"/>
    <w:rsid w:val="000651EB"/>
    <w:rsid w:val="000A77FB"/>
    <w:rsid w:val="000B1AD8"/>
    <w:rsid w:val="000B7044"/>
    <w:rsid w:val="000C2FBA"/>
    <w:rsid w:val="000E2D47"/>
    <w:rsid w:val="000E7C25"/>
    <w:rsid w:val="000F13E9"/>
    <w:rsid w:val="001046BA"/>
    <w:rsid w:val="00120EEE"/>
    <w:rsid w:val="001255EE"/>
    <w:rsid w:val="00125E16"/>
    <w:rsid w:val="00140552"/>
    <w:rsid w:val="00143564"/>
    <w:rsid w:val="00146084"/>
    <w:rsid w:val="00161628"/>
    <w:rsid w:val="001860F1"/>
    <w:rsid w:val="001B2E37"/>
    <w:rsid w:val="001C3F07"/>
    <w:rsid w:val="00202642"/>
    <w:rsid w:val="00203DA0"/>
    <w:rsid w:val="00227025"/>
    <w:rsid w:val="00227266"/>
    <w:rsid w:val="0024745A"/>
    <w:rsid w:val="00255EAA"/>
    <w:rsid w:val="002730B0"/>
    <w:rsid w:val="0027670F"/>
    <w:rsid w:val="00280200"/>
    <w:rsid w:val="00291B64"/>
    <w:rsid w:val="002B1057"/>
    <w:rsid w:val="002C56AC"/>
    <w:rsid w:val="002C6284"/>
    <w:rsid w:val="002D67C2"/>
    <w:rsid w:val="00306547"/>
    <w:rsid w:val="0031620B"/>
    <w:rsid w:val="00346BAB"/>
    <w:rsid w:val="00353D5C"/>
    <w:rsid w:val="0035478B"/>
    <w:rsid w:val="00364556"/>
    <w:rsid w:val="00370BE9"/>
    <w:rsid w:val="003A7D71"/>
    <w:rsid w:val="003B61C4"/>
    <w:rsid w:val="003C3315"/>
    <w:rsid w:val="003C4363"/>
    <w:rsid w:val="003D23B5"/>
    <w:rsid w:val="003E058B"/>
    <w:rsid w:val="003F0669"/>
    <w:rsid w:val="003F285D"/>
    <w:rsid w:val="003F40F1"/>
    <w:rsid w:val="003F5A13"/>
    <w:rsid w:val="004170DF"/>
    <w:rsid w:val="00420B6E"/>
    <w:rsid w:val="00441388"/>
    <w:rsid w:val="0044573E"/>
    <w:rsid w:val="004469B7"/>
    <w:rsid w:val="004644CE"/>
    <w:rsid w:val="004A2C67"/>
    <w:rsid w:val="004C242E"/>
    <w:rsid w:val="004C33D7"/>
    <w:rsid w:val="004E06E9"/>
    <w:rsid w:val="004F708A"/>
    <w:rsid w:val="0050520C"/>
    <w:rsid w:val="00521AD3"/>
    <w:rsid w:val="0052702B"/>
    <w:rsid w:val="0053643C"/>
    <w:rsid w:val="0054141A"/>
    <w:rsid w:val="005430B0"/>
    <w:rsid w:val="0055110F"/>
    <w:rsid w:val="0056497E"/>
    <w:rsid w:val="00592A15"/>
    <w:rsid w:val="005C37D8"/>
    <w:rsid w:val="005C4B27"/>
    <w:rsid w:val="005D6C22"/>
    <w:rsid w:val="005F6BA1"/>
    <w:rsid w:val="0061283F"/>
    <w:rsid w:val="006204FD"/>
    <w:rsid w:val="00630A25"/>
    <w:rsid w:val="006832C2"/>
    <w:rsid w:val="006863D4"/>
    <w:rsid w:val="006927F4"/>
    <w:rsid w:val="006B289A"/>
    <w:rsid w:val="006C2F79"/>
    <w:rsid w:val="006D0BC2"/>
    <w:rsid w:val="006D687A"/>
    <w:rsid w:val="007054DB"/>
    <w:rsid w:val="0070651E"/>
    <w:rsid w:val="00723468"/>
    <w:rsid w:val="0077222B"/>
    <w:rsid w:val="007778F5"/>
    <w:rsid w:val="00777A15"/>
    <w:rsid w:val="0078323D"/>
    <w:rsid w:val="007A2DCB"/>
    <w:rsid w:val="007B0A34"/>
    <w:rsid w:val="007B4CBA"/>
    <w:rsid w:val="007C2034"/>
    <w:rsid w:val="007C3931"/>
    <w:rsid w:val="007C5EAE"/>
    <w:rsid w:val="007D7A92"/>
    <w:rsid w:val="00804B4B"/>
    <w:rsid w:val="00840CC4"/>
    <w:rsid w:val="008440DF"/>
    <w:rsid w:val="00855DF4"/>
    <w:rsid w:val="00862B07"/>
    <w:rsid w:val="00872394"/>
    <w:rsid w:val="00876BA9"/>
    <w:rsid w:val="00890024"/>
    <w:rsid w:val="0089033C"/>
    <w:rsid w:val="008A5B0B"/>
    <w:rsid w:val="008C0F22"/>
    <w:rsid w:val="008C1DF9"/>
    <w:rsid w:val="008C5168"/>
    <w:rsid w:val="008C63C1"/>
    <w:rsid w:val="008D290D"/>
    <w:rsid w:val="008F380E"/>
    <w:rsid w:val="0090744B"/>
    <w:rsid w:val="00925B81"/>
    <w:rsid w:val="0093120D"/>
    <w:rsid w:val="00931F17"/>
    <w:rsid w:val="009407F9"/>
    <w:rsid w:val="0095014C"/>
    <w:rsid w:val="00963300"/>
    <w:rsid w:val="00983819"/>
    <w:rsid w:val="009A49FB"/>
    <w:rsid w:val="009B492E"/>
    <w:rsid w:val="009B609B"/>
    <w:rsid w:val="009C6A0E"/>
    <w:rsid w:val="00A22324"/>
    <w:rsid w:val="00A27AE0"/>
    <w:rsid w:val="00A71501"/>
    <w:rsid w:val="00A75AC2"/>
    <w:rsid w:val="00A94F79"/>
    <w:rsid w:val="00AC30F1"/>
    <w:rsid w:val="00AC39CA"/>
    <w:rsid w:val="00AE4095"/>
    <w:rsid w:val="00B04D8F"/>
    <w:rsid w:val="00B155E0"/>
    <w:rsid w:val="00B2282D"/>
    <w:rsid w:val="00B23E72"/>
    <w:rsid w:val="00B57904"/>
    <w:rsid w:val="00B71693"/>
    <w:rsid w:val="00B835A9"/>
    <w:rsid w:val="00B85E68"/>
    <w:rsid w:val="00B9544A"/>
    <w:rsid w:val="00BA0A2C"/>
    <w:rsid w:val="00BA0B50"/>
    <w:rsid w:val="00BA1F3F"/>
    <w:rsid w:val="00BB5624"/>
    <w:rsid w:val="00BD2C9C"/>
    <w:rsid w:val="00BD5752"/>
    <w:rsid w:val="00BE6A43"/>
    <w:rsid w:val="00BF517A"/>
    <w:rsid w:val="00BF78A1"/>
    <w:rsid w:val="00C058CE"/>
    <w:rsid w:val="00C3761A"/>
    <w:rsid w:val="00C60C41"/>
    <w:rsid w:val="00C74B12"/>
    <w:rsid w:val="00C769C6"/>
    <w:rsid w:val="00C904AA"/>
    <w:rsid w:val="00CB1CD8"/>
    <w:rsid w:val="00CB3777"/>
    <w:rsid w:val="00CC21C4"/>
    <w:rsid w:val="00CE1336"/>
    <w:rsid w:val="00CE435E"/>
    <w:rsid w:val="00CF19E9"/>
    <w:rsid w:val="00D0491D"/>
    <w:rsid w:val="00D11B66"/>
    <w:rsid w:val="00D12E1C"/>
    <w:rsid w:val="00D54011"/>
    <w:rsid w:val="00D61A82"/>
    <w:rsid w:val="00D84988"/>
    <w:rsid w:val="00DA5F78"/>
    <w:rsid w:val="00DB4509"/>
    <w:rsid w:val="00DF3DF8"/>
    <w:rsid w:val="00DF4533"/>
    <w:rsid w:val="00DF6BD9"/>
    <w:rsid w:val="00E22310"/>
    <w:rsid w:val="00E23F12"/>
    <w:rsid w:val="00E655C2"/>
    <w:rsid w:val="00E83FA2"/>
    <w:rsid w:val="00E9390F"/>
    <w:rsid w:val="00E97440"/>
    <w:rsid w:val="00EA057B"/>
    <w:rsid w:val="00EB5ADF"/>
    <w:rsid w:val="00EC4A76"/>
    <w:rsid w:val="00EE4D92"/>
    <w:rsid w:val="00EF06B8"/>
    <w:rsid w:val="00EF2DD0"/>
    <w:rsid w:val="00F258D4"/>
    <w:rsid w:val="00F32AB4"/>
    <w:rsid w:val="00F46056"/>
    <w:rsid w:val="00F53FB3"/>
    <w:rsid w:val="00F770FF"/>
    <w:rsid w:val="00FA0AE9"/>
    <w:rsid w:val="00FB34E8"/>
    <w:rsid w:val="00FD24DC"/>
    <w:rsid w:val="00FD412A"/>
    <w:rsid w:val="00FE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2819"/>
  <w15:chartTrackingRefBased/>
  <w15:docId w15:val="{FB79179C-E241-4195-9E13-A7758A7C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777"/>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qFormat/>
    <w:rsid w:val="008C5168"/>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mbria" w:eastAsia="MS Mincho" w:hAnsi="Cambria" w:cs="Times New Roman"/>
      <w:caps/>
      <w:spacing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168"/>
    <w:rPr>
      <w:rFonts w:ascii="Cambria" w:eastAsia="MS Mincho" w:hAnsi="Cambria" w:cs="Times New Roman"/>
      <w:caps/>
      <w:spacing w:val="15"/>
      <w:shd w:val="clear" w:color="auto" w:fill="DBE5F1"/>
    </w:rPr>
  </w:style>
  <w:style w:type="paragraph" w:styleId="BalloonText">
    <w:name w:val="Balloon Text"/>
    <w:basedOn w:val="Normal"/>
    <w:link w:val="BalloonTextChar"/>
    <w:uiPriority w:val="99"/>
    <w:semiHidden/>
    <w:unhideWhenUsed/>
    <w:rsid w:val="00255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AA"/>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OBC Bullet,L"/>
    <w:basedOn w:val="Normal"/>
    <w:link w:val="ListParagraphChar"/>
    <w:uiPriority w:val="34"/>
    <w:qFormat/>
    <w:rsid w:val="00255EAA"/>
    <w:pPr>
      <w:spacing w:after="200" w:line="276" w:lineRule="auto"/>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55EAA"/>
  </w:style>
  <w:style w:type="character" w:styleId="CommentReference">
    <w:name w:val="annotation reference"/>
    <w:basedOn w:val="DefaultParagraphFont"/>
    <w:uiPriority w:val="99"/>
    <w:semiHidden/>
    <w:unhideWhenUsed/>
    <w:rsid w:val="0078323D"/>
    <w:rPr>
      <w:sz w:val="16"/>
      <w:szCs w:val="16"/>
    </w:rPr>
  </w:style>
  <w:style w:type="paragraph" w:styleId="CommentText">
    <w:name w:val="annotation text"/>
    <w:basedOn w:val="Normal"/>
    <w:link w:val="CommentTextChar"/>
    <w:uiPriority w:val="99"/>
    <w:unhideWhenUsed/>
    <w:rsid w:val="0078323D"/>
    <w:pPr>
      <w:spacing w:line="240" w:lineRule="auto"/>
    </w:pPr>
    <w:rPr>
      <w:sz w:val="20"/>
      <w:szCs w:val="20"/>
    </w:rPr>
  </w:style>
  <w:style w:type="character" w:customStyle="1" w:styleId="CommentTextChar">
    <w:name w:val="Comment Text Char"/>
    <w:basedOn w:val="DefaultParagraphFont"/>
    <w:link w:val="CommentText"/>
    <w:uiPriority w:val="99"/>
    <w:rsid w:val="0078323D"/>
    <w:rPr>
      <w:sz w:val="20"/>
      <w:szCs w:val="20"/>
    </w:rPr>
  </w:style>
  <w:style w:type="paragraph" w:styleId="CommentSubject">
    <w:name w:val="annotation subject"/>
    <w:basedOn w:val="CommentText"/>
    <w:next w:val="CommentText"/>
    <w:link w:val="CommentSubjectChar"/>
    <w:uiPriority w:val="99"/>
    <w:semiHidden/>
    <w:unhideWhenUsed/>
    <w:rsid w:val="0078323D"/>
    <w:rPr>
      <w:b/>
      <w:bCs/>
    </w:rPr>
  </w:style>
  <w:style w:type="character" w:customStyle="1" w:styleId="CommentSubjectChar">
    <w:name w:val="Comment Subject Char"/>
    <w:basedOn w:val="CommentTextChar"/>
    <w:link w:val="CommentSubject"/>
    <w:uiPriority w:val="99"/>
    <w:semiHidden/>
    <w:rsid w:val="0078323D"/>
    <w:rPr>
      <w:b/>
      <w:bCs/>
      <w:sz w:val="20"/>
      <w:szCs w:val="20"/>
    </w:rPr>
  </w:style>
  <w:style w:type="character" w:styleId="Hyperlink">
    <w:name w:val="Hyperlink"/>
    <w:basedOn w:val="DefaultParagraphFont"/>
    <w:uiPriority w:val="99"/>
    <w:unhideWhenUsed/>
    <w:rsid w:val="00862B07"/>
    <w:rPr>
      <w:color w:val="0563C1" w:themeColor="hyperlink"/>
      <w:u w:val="single"/>
    </w:rPr>
  </w:style>
  <w:style w:type="character" w:customStyle="1" w:styleId="Heading1Char">
    <w:name w:val="Heading 1 Char"/>
    <w:basedOn w:val="DefaultParagraphFont"/>
    <w:link w:val="Heading1"/>
    <w:uiPriority w:val="9"/>
    <w:rsid w:val="00CB3777"/>
    <w:rPr>
      <w:rFonts w:asciiTheme="majorHAnsi" w:eastAsiaTheme="majorEastAsia" w:hAnsiTheme="majorHAnsi" w:cstheme="majorBidi"/>
      <w:color w:val="2F5496" w:themeColor="accent1" w:themeShade="BF"/>
      <w:sz w:val="32"/>
      <w:szCs w:val="32"/>
      <w:lang w:val="en-GB"/>
    </w:rPr>
  </w:style>
  <w:style w:type="character" w:styleId="UnresolvedMention">
    <w:name w:val="Unresolved Mention"/>
    <w:basedOn w:val="DefaultParagraphFont"/>
    <w:uiPriority w:val="99"/>
    <w:semiHidden/>
    <w:unhideWhenUsed/>
    <w:rsid w:val="008C63C1"/>
    <w:rPr>
      <w:color w:val="605E5C"/>
      <w:shd w:val="clear" w:color="auto" w:fill="E1DFDD"/>
    </w:rPr>
  </w:style>
  <w:style w:type="paragraph" w:styleId="Header">
    <w:name w:val="header"/>
    <w:basedOn w:val="Normal"/>
    <w:link w:val="HeaderChar"/>
    <w:uiPriority w:val="99"/>
    <w:unhideWhenUsed/>
    <w:rsid w:val="009A4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9FB"/>
  </w:style>
  <w:style w:type="paragraph" w:styleId="Footer">
    <w:name w:val="footer"/>
    <w:basedOn w:val="Normal"/>
    <w:link w:val="FooterChar"/>
    <w:uiPriority w:val="99"/>
    <w:unhideWhenUsed/>
    <w:rsid w:val="009A4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9FB"/>
  </w:style>
  <w:style w:type="table" w:styleId="TableGrid">
    <w:name w:val="Table Grid"/>
    <w:basedOn w:val="TableNormal"/>
    <w:uiPriority w:val="39"/>
    <w:rsid w:val="00B95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0516">
      <w:bodyDiv w:val="1"/>
      <w:marLeft w:val="0"/>
      <w:marRight w:val="0"/>
      <w:marTop w:val="0"/>
      <w:marBottom w:val="0"/>
      <w:divBdr>
        <w:top w:val="none" w:sz="0" w:space="0" w:color="auto"/>
        <w:left w:val="none" w:sz="0" w:space="0" w:color="auto"/>
        <w:bottom w:val="none" w:sz="0" w:space="0" w:color="auto"/>
        <w:right w:val="none" w:sz="0" w:space="0" w:color="auto"/>
      </w:divBdr>
    </w:div>
    <w:div w:id="672605963">
      <w:bodyDiv w:val="1"/>
      <w:marLeft w:val="0"/>
      <w:marRight w:val="0"/>
      <w:marTop w:val="0"/>
      <w:marBottom w:val="0"/>
      <w:divBdr>
        <w:top w:val="none" w:sz="0" w:space="0" w:color="auto"/>
        <w:left w:val="none" w:sz="0" w:space="0" w:color="auto"/>
        <w:bottom w:val="none" w:sz="0" w:space="0" w:color="auto"/>
        <w:right w:val="none" w:sz="0" w:space="0" w:color="auto"/>
      </w:divBdr>
    </w:div>
    <w:div w:id="998114101">
      <w:bodyDiv w:val="1"/>
      <w:marLeft w:val="0"/>
      <w:marRight w:val="0"/>
      <w:marTop w:val="0"/>
      <w:marBottom w:val="0"/>
      <w:divBdr>
        <w:top w:val="none" w:sz="0" w:space="0" w:color="auto"/>
        <w:left w:val="none" w:sz="0" w:space="0" w:color="auto"/>
        <w:bottom w:val="none" w:sz="0" w:space="0" w:color="auto"/>
        <w:right w:val="none" w:sz="0" w:space="0" w:color="auto"/>
      </w:divBdr>
    </w:div>
    <w:div w:id="1178277300">
      <w:bodyDiv w:val="1"/>
      <w:marLeft w:val="0"/>
      <w:marRight w:val="0"/>
      <w:marTop w:val="0"/>
      <w:marBottom w:val="0"/>
      <w:divBdr>
        <w:top w:val="none" w:sz="0" w:space="0" w:color="auto"/>
        <w:left w:val="none" w:sz="0" w:space="0" w:color="auto"/>
        <w:bottom w:val="none" w:sz="0" w:space="0" w:color="auto"/>
        <w:right w:val="none" w:sz="0" w:space="0" w:color="auto"/>
      </w:divBdr>
    </w:div>
    <w:div w:id="13831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unityengagementhub.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mmunityengagementhub.org/wp-content/uploads/sites/2/2020/04/20200213_AfricaRoadMap_FR_ONLINE-OP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engagementhub.org/wp-content/uploads/sites/2/2020/04/CD19-R1-Movement-wide-committment-for-CEA_FR.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phie.everest@ifr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8a61b5-d4b1-4106-b4bc-8560b724855e" xsi:nil="true"/>
    <lcf76f155ced4ddcb4097134ff3c332f xmlns="1d4640d9-733a-4c6d-a542-95167bbe35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8" ma:contentTypeDescription="Create a new document." ma:contentTypeScope="" ma:versionID="d2d4aebee45a4ee2be11895b35157d42">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00646e997c529ab9a6012ca335fdae6c"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a9e692-b22c-4259-b0e3-960c9be04eb7}" ma:internalName="TaxCatchAll" ma:showField="CatchAllData" ma:web="728a61b5-d4b1-4106-b4bc-8560b7248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8350F-7172-427D-8C53-87ADBFF18E20}">
  <ds:schemaRefs>
    <ds:schemaRef ds:uri="http://schemas.microsoft.com/sharepoint/v3/contenttype/forms"/>
  </ds:schemaRefs>
</ds:datastoreItem>
</file>

<file path=customXml/itemProps2.xml><?xml version="1.0" encoding="utf-8"?>
<ds:datastoreItem xmlns:ds="http://schemas.openxmlformats.org/officeDocument/2006/customXml" ds:itemID="{673B4DC0-26F0-401E-B348-5980A824B1B8}">
  <ds:schemaRefs>
    <ds:schemaRef ds:uri="http://schemas.microsoft.com/office/2006/metadata/properties"/>
    <ds:schemaRef ds:uri="http://schemas.microsoft.com/office/infopath/2007/PartnerControls"/>
    <ds:schemaRef ds:uri="http://schemas.microsoft.com/sharepoint/v3"/>
    <ds:schemaRef ds:uri="728a61b5-d4b1-4106-b4bc-8560b724855e"/>
    <ds:schemaRef ds:uri="1d4640d9-733a-4c6d-a542-95167bbe3566"/>
  </ds:schemaRefs>
</ds:datastoreItem>
</file>

<file path=customXml/itemProps3.xml><?xml version="1.0" encoding="utf-8"?>
<ds:datastoreItem xmlns:ds="http://schemas.openxmlformats.org/officeDocument/2006/customXml" ds:itemID="{6C0069CF-88B2-4154-BDEC-EFEB348696AA}">
  <ds:schemaRefs>
    <ds:schemaRef ds:uri="http://schemas.openxmlformats.org/officeDocument/2006/bibliography"/>
  </ds:schemaRefs>
</ds:datastoreItem>
</file>

<file path=customXml/itemProps4.xml><?xml version="1.0" encoding="utf-8"?>
<ds:datastoreItem xmlns:ds="http://schemas.openxmlformats.org/officeDocument/2006/customXml" ds:itemID="{44D72B35-440D-4272-9C20-637FFB7A7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N. Maingi</dc:creator>
  <cp:keywords/>
  <dc:description/>
  <cp:lastModifiedBy>Sophie Louise EVEREST</cp:lastModifiedBy>
  <cp:revision>28</cp:revision>
  <dcterms:created xsi:type="dcterms:W3CDTF">2022-09-02T10:11:00Z</dcterms:created>
  <dcterms:modified xsi:type="dcterms:W3CDTF">2022-09-02T10:32:00Z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2022-09-01T12:41:30Z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67159821-5e93-41c3-a213-fe46cbf6709f</vt:lpwstr>
  </property>
  <property fmtid="{D5CDD505-2E9C-101B-9397-08002B2CF9AE}" pid="12" name="MSIP_Label_caf3f7fd-5cd4-4287-9002-aceb9af13c42_ContentBits">
    <vt:lpwstr>2</vt:lpwstr>
  </property>
  <property fmtid="{D5CDD505-2E9C-101B-9397-08002B2CF9AE}" pid="13" name="MediaServiceImageTags">
    <vt:lpwstr/>
  </property>
</Properties>
</file>