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3A45718B" w:rsidR="004B4F99" w:rsidRPr="00AB65F6" w:rsidRDefault="004B4F99" w:rsidP="004B4F99">
      <w:pPr>
        <w:rPr>
          <w:lang w:val="en-GB"/>
        </w:rPr>
      </w:pPr>
    </w:p>
    <w:p w14:paraId="5F2926DE" w14:textId="7B6BF97C" w:rsidR="005D42F9" w:rsidRPr="00AB65F6" w:rsidRDefault="00A91CF1" w:rsidP="007D7E49">
      <w:pPr>
        <w:pStyle w:val="H2"/>
      </w:pPr>
      <w:r>
        <w:t>DE QUOI S’AGIT-IL ?</w:t>
      </w:r>
    </w:p>
    <w:p w14:paraId="784EFA96" w14:textId="0C864177" w:rsidR="00A91CF1" w:rsidRPr="00AB65F6" w:rsidRDefault="0035328B" w:rsidP="007D7E49">
      <w:pPr>
        <w:pStyle w:val="H2"/>
      </w:pPr>
      <w:r>
        <w:rPr>
          <w:rFonts w:ascii="Helvetica Neue Light" w:hAnsi="Helvetica Neue Light"/>
          <w:color w:val="000000" w:themeColor="text1"/>
          <w:sz w:val="20"/>
        </w:rPr>
        <w:t>Cet outil permet de déterminer l'ampleur du mécanisme de retour d'information que vous souhaitez mettre en place. Lorsque vous réfléchissez à l’ampleur de votre mécanisme de retour d'information, vous devez déterminer l’objectif de votre mécanisme de retour d'information, qui doit voir le retour d'information que vous allez recueillir et les ressources disponibles.</w:t>
      </w:r>
    </w:p>
    <w:p w14:paraId="780B25D8" w14:textId="58CC3F6E" w:rsidR="007D7E49" w:rsidRPr="00E0379B" w:rsidRDefault="007D7E49" w:rsidP="007D7E49">
      <w:pPr>
        <w:pStyle w:val="H2"/>
      </w:pPr>
    </w:p>
    <w:p w14:paraId="2EAA453D" w14:textId="0803B22F" w:rsidR="00557894" w:rsidRPr="00AB65F6" w:rsidRDefault="00557894" w:rsidP="00557894">
      <w:pPr>
        <w:pStyle w:val="H2"/>
      </w:pPr>
      <w:r>
        <w:t>QUE VOULONS-NOUS DIRE PAR « AMPLEUR » ?</w:t>
      </w:r>
    </w:p>
    <w:p w14:paraId="4C538143" w14:textId="77777777" w:rsidR="00557894" w:rsidRPr="00AB65F6" w:rsidRDefault="00557894" w:rsidP="00557894">
      <w:pPr>
        <w:pStyle w:val="BodyCopy"/>
      </w:pPr>
      <w:r>
        <w:t>L’ampleur du mécanisme de retour d'information se réfère au(x) niveau(x) géographique(s) et organisationnel(s) sur lequel le mécanisme de retour d'information opère. Un mécanisme de retour d'information peut se limiter à une équipe locale ou être aussi large qu'un mécanisme de retour d'information inter-agences opérant sur différents districts ou même sur différents pays. Une ampleur plus large du mécanisme ne supprime pas les boucles de retour d'information plus courtes à des niveaux plus proches des communautés. Différentes ampleurs de retour d'information :</w:t>
      </w:r>
    </w:p>
    <w:p w14:paraId="3A92D051" w14:textId="77777777" w:rsidR="00557894" w:rsidRPr="00AB65F6" w:rsidRDefault="00557894" w:rsidP="00557894">
      <w:pPr>
        <w:pStyle w:val="BulletPoint"/>
      </w:pPr>
      <w:r>
        <w:rPr>
          <w:b/>
          <w:color w:val="D7337F"/>
        </w:rPr>
        <w:t>Niveau local</w:t>
      </w:r>
      <w:r>
        <w:rPr>
          <w:color w:val="D7337F"/>
        </w:rPr>
        <w:t xml:space="preserve"> </w:t>
      </w:r>
      <w:r>
        <w:t>- Motive les décisions au niveau local qui peuvent être prises par l’équipe en collaboration avec les acteurs locaux.</w:t>
      </w:r>
    </w:p>
    <w:p w14:paraId="2D4E7943" w14:textId="76A0EC43" w:rsidR="00557894" w:rsidRPr="00AB65F6" w:rsidRDefault="59711B51" w:rsidP="00557894">
      <w:pPr>
        <w:pStyle w:val="BulletPoint"/>
      </w:pPr>
      <w:r w:rsidRPr="59711B51">
        <w:rPr>
          <w:b/>
          <w:bCs/>
          <w:color w:val="D7337F"/>
        </w:rPr>
        <w:t>Niveau du district/de la succursale -</w:t>
      </w:r>
      <w:r>
        <w:t xml:space="preserve"> Motive les décisions au niveau du district/de la succursale qui pourraient être prises en coordination avec les partenaires à ce niveau</w:t>
      </w:r>
    </w:p>
    <w:p w14:paraId="368EBDE8" w14:textId="77777777" w:rsidR="00557894" w:rsidRPr="00AB65F6" w:rsidRDefault="00557894" w:rsidP="00557894">
      <w:pPr>
        <w:pStyle w:val="BulletPoint"/>
      </w:pPr>
      <w:r>
        <w:rPr>
          <w:b/>
          <w:color w:val="D7337F"/>
        </w:rPr>
        <w:t>Niveau national</w:t>
      </w:r>
      <w:r>
        <w:rPr>
          <w:color w:val="D7337F"/>
        </w:rPr>
        <w:t xml:space="preserve"> </w:t>
      </w:r>
      <w:r>
        <w:t>- Motive les décisions au niveau national concernant l'ensemble de l'organisation ou de l'opération. Des mesures peuvent être prises en coordination avec les partenaires au niveau de la coordination nationale.</w:t>
      </w:r>
    </w:p>
    <w:p w14:paraId="1D183A76" w14:textId="77777777" w:rsidR="00557894" w:rsidRPr="00AB65F6" w:rsidRDefault="00557894" w:rsidP="00557894">
      <w:pPr>
        <w:pStyle w:val="BulletPoint"/>
      </w:pPr>
      <w:r>
        <w:rPr>
          <w:b/>
          <w:color w:val="D7337F"/>
        </w:rPr>
        <w:t>Niveau inter-agences ou régional</w:t>
      </w:r>
      <w:r>
        <w:rPr>
          <w:color w:val="D7337F"/>
        </w:rPr>
        <w:t xml:space="preserve"> </w:t>
      </w:r>
      <w:r>
        <w:t>- Motive les décisions inter-agences et/ou régionales Des mesures peuvent être prises en coordination avec les partenaires au niveau de la coordination nationale et régionale.</w:t>
      </w:r>
    </w:p>
    <w:p w14:paraId="090628AF" w14:textId="2D797794" w:rsidR="00557894" w:rsidRPr="00E0379B" w:rsidRDefault="00557894" w:rsidP="007D7E49">
      <w:pPr>
        <w:pStyle w:val="H2"/>
      </w:pPr>
    </w:p>
    <w:p w14:paraId="376381D8" w14:textId="7B599259" w:rsidR="008F46E5" w:rsidRPr="00AB65F6" w:rsidRDefault="008F46E5" w:rsidP="008F46E5">
      <w:pPr>
        <w:pStyle w:val="H2"/>
      </w:pPr>
      <w:r>
        <w:t>POURQUOI DEVONS-NOUS DÉTERMINER L’AMPLEUR AU DÉPART ?</w:t>
      </w:r>
    </w:p>
    <w:p w14:paraId="0DC3D7F7" w14:textId="77777777" w:rsidR="00255ECA" w:rsidRPr="00AB65F6" w:rsidRDefault="00255ECA" w:rsidP="00255ECA">
      <w:pPr>
        <w:pStyle w:val="BodyCopy"/>
      </w:pPr>
      <w:r>
        <w:t xml:space="preserve">Pour commencer le processus de planification de votre mécanisme de retour d'information, vous devez savoir clairement qui d'autre sera impliqué dans le processus pour être sûr que les données soient utilisées et prises en compte. Ceci aura un impact sur les ressources dont vous aurez besoin et guidera les prochaines étapes de la cartographie du flux du retour d'information au sein de votre organisation ou des structures de coordination avec d’autres organisations partenaires. </w:t>
      </w:r>
    </w:p>
    <w:p w14:paraId="27ED430E" w14:textId="2C5454E1" w:rsidR="008F46E5" w:rsidRPr="00E0379B" w:rsidRDefault="008F46E5" w:rsidP="007D7E49">
      <w:pPr>
        <w:pStyle w:val="H2"/>
      </w:pPr>
    </w:p>
    <w:p w14:paraId="0B8FF49B" w14:textId="07D0EFF7" w:rsidR="00B04DC0" w:rsidRPr="00AB65F6" w:rsidRDefault="00B04DC0" w:rsidP="00591FBA">
      <w:pPr>
        <w:pStyle w:val="H2"/>
      </w:pPr>
      <w:r>
        <w:t>COMMENT UTILISER CE GUIDE ?</w:t>
      </w:r>
    </w:p>
    <w:p w14:paraId="3B61BAAA" w14:textId="0109AD15" w:rsidR="00B267CF" w:rsidRPr="00AB65F6" w:rsidRDefault="00B267CF" w:rsidP="00591FBA">
      <w:pPr>
        <w:pStyle w:val="BulletNumbers"/>
      </w:pPr>
      <w:r>
        <w:t>Commencez par la première question de l’arbre de décision ci-dessous et suivez les flèches selon vos réponses, ce qui vous conduira au niveau approprié pour votre mécanisme de retour d'information.</w:t>
      </w:r>
    </w:p>
    <w:p w14:paraId="2F42E081" w14:textId="00B55736" w:rsidR="00B267CF" w:rsidRPr="00AB65F6" w:rsidRDefault="00B267CF" w:rsidP="00591FBA">
      <w:pPr>
        <w:pStyle w:val="BulletNumbers"/>
      </w:pPr>
      <w:r>
        <w:t>Consultez l’arbre de décision ci-dessous pour en savoir plus sur les caractéristiques d'un mécanisme de retour d'information opérant à ce niveau</w:t>
      </w:r>
    </w:p>
    <w:p w14:paraId="3A48F941" w14:textId="7E94AFA3" w:rsidR="00255ECA" w:rsidRPr="00AB65F6" w:rsidRDefault="00591FBA" w:rsidP="00591FBA">
      <w:pPr>
        <w:pStyle w:val="BulletNumbers"/>
      </w:pPr>
      <w:r>
        <w:t>Poursuivez le processus de mise en place ou de renforcement de votre mécanisme de retour d'information.</w:t>
      </w:r>
    </w:p>
    <w:p w14:paraId="2FD0F45C" w14:textId="15EB72B5" w:rsidR="00E53507" w:rsidRPr="00E0379B" w:rsidRDefault="00E53507" w:rsidP="007D7E49">
      <w:pPr>
        <w:pStyle w:val="H2"/>
      </w:pPr>
    </w:p>
    <w:p w14:paraId="4101BFD8" w14:textId="60925498" w:rsidR="00E53507" w:rsidRPr="00E0379B" w:rsidRDefault="00E53507" w:rsidP="007D7E49">
      <w:pPr>
        <w:pStyle w:val="H2"/>
      </w:pPr>
    </w:p>
    <w:p w14:paraId="040490B9" w14:textId="3E30BE7B" w:rsidR="00E53507" w:rsidRPr="00E0379B" w:rsidRDefault="00E53507" w:rsidP="007D7E49">
      <w:pPr>
        <w:pStyle w:val="H2"/>
      </w:pPr>
    </w:p>
    <w:p w14:paraId="6F085424" w14:textId="2D90D2A7" w:rsidR="00E53507" w:rsidRPr="00E0379B" w:rsidRDefault="00E53507" w:rsidP="007D7E49">
      <w:pPr>
        <w:pStyle w:val="H2"/>
      </w:pPr>
    </w:p>
    <w:p w14:paraId="27EE27F6" w14:textId="767FD34B" w:rsidR="00E53507" w:rsidRPr="00E0379B" w:rsidRDefault="00E53507" w:rsidP="007D7E49">
      <w:pPr>
        <w:pStyle w:val="H2"/>
      </w:pPr>
    </w:p>
    <w:p w14:paraId="20D9D6AA" w14:textId="600CF952" w:rsidR="00E53507" w:rsidRPr="00E0379B" w:rsidRDefault="00E53507" w:rsidP="007D7E49">
      <w:pPr>
        <w:pStyle w:val="H2"/>
      </w:pPr>
    </w:p>
    <w:p w14:paraId="6CC59627" w14:textId="731E4E6D" w:rsidR="00E53507" w:rsidRPr="00E0379B" w:rsidRDefault="00E53507" w:rsidP="007D7E49">
      <w:pPr>
        <w:pStyle w:val="H2"/>
      </w:pPr>
    </w:p>
    <w:p w14:paraId="58E89BEF" w14:textId="378EFB17" w:rsidR="00E53507" w:rsidRPr="00E0379B" w:rsidRDefault="009F7DBF" w:rsidP="007D7E49">
      <w:pPr>
        <w:pStyle w:val="H2"/>
      </w:pPr>
      <w:r>
        <w:rPr>
          <w:noProof/>
        </w:rPr>
        <w:lastRenderedPageBreak/>
        <w:drawing>
          <wp:inline distT="0" distB="0" distL="0" distR="0" wp14:anchorId="04A64B0A" wp14:editId="57895F41">
            <wp:extent cx="8868871" cy="6299067"/>
            <wp:effectExtent l="0" t="0" r="0" b="0"/>
            <wp:docPr id="6761003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100385" name="Picture 676100385"/>
                    <pic:cNvPicPr/>
                  </pic:nvPicPr>
                  <pic:blipFill rotWithShape="1">
                    <a:blip r:embed="rId11">
                      <a:extLst>
                        <a:ext uri="{28A0092B-C50C-407E-A947-70E740481C1C}">
                          <a14:useLocalDpi xmlns:a14="http://schemas.microsoft.com/office/drawing/2010/main" val="0"/>
                        </a:ext>
                      </a:extLst>
                    </a:blip>
                    <a:srcRect t="8088"/>
                    <a:stretch/>
                  </pic:blipFill>
                  <pic:spPr bwMode="auto">
                    <a:xfrm>
                      <a:off x="0" y="0"/>
                      <a:ext cx="8895109" cy="6317702"/>
                    </a:xfrm>
                    <a:prstGeom prst="rect">
                      <a:avLst/>
                    </a:prstGeom>
                    <a:ln>
                      <a:noFill/>
                    </a:ln>
                    <a:extLst>
                      <a:ext uri="{53640926-AAD7-44D8-BBD7-CCE9431645EC}">
                        <a14:shadowObscured xmlns:a14="http://schemas.microsoft.com/office/drawing/2010/main"/>
                      </a:ext>
                    </a:extLst>
                  </pic:spPr>
                </pic:pic>
              </a:graphicData>
            </a:graphic>
          </wp:inline>
        </w:drawing>
      </w:r>
    </w:p>
    <w:p w14:paraId="452373FC" w14:textId="72C3D808" w:rsidR="002E5188" w:rsidRPr="00AB65F6" w:rsidRDefault="002E5188" w:rsidP="009F7DBF">
      <w:pPr>
        <w:pStyle w:val="BodyCopy"/>
      </w:pPr>
      <w:r>
        <w:lastRenderedPageBreak/>
        <w:t>Le tableau ci-dessous fournit un aperçu de l’ampleur de différents mécanismes de retour d'information et à quoi ressemble le mécanisme de retour d'information à ce niveau</w:t>
      </w:r>
      <w:r w:rsidR="009F7DBF">
        <w:t xml:space="preserve"> </w:t>
      </w:r>
      <w:r>
        <w:t>:</w:t>
      </w:r>
    </w:p>
    <w:p w14:paraId="6AF36542" w14:textId="0BFA8671" w:rsidR="00CC24BD" w:rsidRPr="00E0379B" w:rsidRDefault="00CC24BD" w:rsidP="00CB2789"/>
    <w:tbl>
      <w:tblPr>
        <w:tblStyle w:val="TableGrid"/>
        <w:tblW w:w="14034" w:type="dxa"/>
        <w:tblInd w:w="-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58" w:type="dxa"/>
          <w:left w:w="29" w:type="dxa"/>
          <w:bottom w:w="29" w:type="dxa"/>
          <w:right w:w="29" w:type="dxa"/>
        </w:tblCellMar>
        <w:tblLook w:val="04A0" w:firstRow="1" w:lastRow="0" w:firstColumn="1" w:lastColumn="0" w:noHBand="0" w:noVBand="1"/>
      </w:tblPr>
      <w:tblGrid>
        <w:gridCol w:w="1251"/>
        <w:gridCol w:w="2192"/>
        <w:gridCol w:w="2310"/>
        <w:gridCol w:w="1890"/>
        <w:gridCol w:w="2355"/>
        <w:gridCol w:w="2018"/>
        <w:gridCol w:w="2018"/>
      </w:tblGrid>
      <w:tr w:rsidR="002F36B4" w:rsidRPr="00AB65F6" w14:paraId="7A2F3F1D" w14:textId="621530E9" w:rsidTr="009F7DBF">
        <w:trPr>
          <w:trHeight w:val="432"/>
        </w:trPr>
        <w:tc>
          <w:tcPr>
            <w:tcW w:w="1250" w:type="dxa"/>
            <w:tcBorders>
              <w:right w:val="single" w:sz="4" w:space="0" w:color="FFFFFF" w:themeColor="background1"/>
            </w:tcBorders>
            <w:shd w:val="clear" w:color="auto" w:fill="943482"/>
          </w:tcPr>
          <w:p w14:paraId="7B3182A1" w14:textId="1B65E0C8" w:rsidR="00CA33F7" w:rsidRPr="00AB65F6" w:rsidRDefault="00CA33F7" w:rsidP="00B2673A">
            <w:pPr>
              <w:pStyle w:val="TableHeader"/>
            </w:pPr>
            <w:r>
              <w:t>AMPLEUR</w:t>
            </w:r>
          </w:p>
        </w:tc>
        <w:tc>
          <w:tcPr>
            <w:tcW w:w="2422" w:type="dxa"/>
            <w:tcBorders>
              <w:left w:val="single" w:sz="4" w:space="0" w:color="FFFFFF" w:themeColor="background1"/>
              <w:right w:val="single" w:sz="4" w:space="0" w:color="FFFFFF" w:themeColor="background1"/>
            </w:tcBorders>
            <w:shd w:val="clear" w:color="auto" w:fill="943482"/>
          </w:tcPr>
          <w:p w14:paraId="356D615C" w14:textId="4838B85B" w:rsidR="00CA33F7" w:rsidRPr="00AB65F6" w:rsidRDefault="00CA33F7" w:rsidP="00B2673A">
            <w:pPr>
              <w:pStyle w:val="TableHeader"/>
            </w:pPr>
            <w:r>
              <w:t>OBJECTIF</w:t>
            </w:r>
          </w:p>
        </w:tc>
        <w:tc>
          <w:tcPr>
            <w:tcW w:w="2446" w:type="dxa"/>
            <w:tcBorders>
              <w:left w:val="single" w:sz="4" w:space="0" w:color="FFFFFF" w:themeColor="background1"/>
            </w:tcBorders>
            <w:shd w:val="clear" w:color="auto" w:fill="943482"/>
          </w:tcPr>
          <w:p w14:paraId="403CDE77" w14:textId="4F34E784" w:rsidR="00CA33F7" w:rsidRPr="00AB65F6" w:rsidRDefault="00CA33F7" w:rsidP="00B2673A">
            <w:pPr>
              <w:pStyle w:val="TableHeader"/>
            </w:pPr>
            <w:r>
              <w:t>LA MEILLEURE UTILISATION ?</w:t>
            </w:r>
          </w:p>
        </w:tc>
        <w:tc>
          <w:tcPr>
            <w:tcW w:w="2053" w:type="dxa"/>
            <w:tcBorders>
              <w:left w:val="single" w:sz="4" w:space="0" w:color="FFFFFF" w:themeColor="background1"/>
            </w:tcBorders>
            <w:shd w:val="clear" w:color="auto" w:fill="943482"/>
          </w:tcPr>
          <w:p w14:paraId="40828535" w14:textId="72080DE1" w:rsidR="00CA33F7" w:rsidRPr="00AB65F6" w:rsidRDefault="00CA33F7" w:rsidP="00B2673A">
            <w:pPr>
              <w:pStyle w:val="TableHeader"/>
            </w:pPr>
            <w:r>
              <w:t>BESOIN EN LANGUES</w:t>
            </w:r>
          </w:p>
        </w:tc>
        <w:tc>
          <w:tcPr>
            <w:tcW w:w="2430" w:type="dxa"/>
            <w:tcBorders>
              <w:left w:val="single" w:sz="4" w:space="0" w:color="FFFFFF" w:themeColor="background1"/>
            </w:tcBorders>
            <w:shd w:val="clear" w:color="auto" w:fill="943482"/>
          </w:tcPr>
          <w:p w14:paraId="7E8E5518" w14:textId="5C835D88" w:rsidR="00CA33F7" w:rsidRPr="00AB65F6" w:rsidRDefault="00CA33F7" w:rsidP="00B2673A">
            <w:pPr>
              <w:pStyle w:val="TableHeader"/>
            </w:pPr>
            <w:r>
              <w:t>CONSOLIDATION</w:t>
            </w:r>
          </w:p>
        </w:tc>
        <w:tc>
          <w:tcPr>
            <w:tcW w:w="2018" w:type="dxa"/>
            <w:tcBorders>
              <w:left w:val="single" w:sz="4" w:space="0" w:color="FFFFFF" w:themeColor="background1"/>
            </w:tcBorders>
            <w:shd w:val="clear" w:color="auto" w:fill="943482"/>
          </w:tcPr>
          <w:p w14:paraId="6202426B" w14:textId="168A7AF2" w:rsidR="00CA33F7" w:rsidRPr="00AB65F6" w:rsidRDefault="00CA33F7" w:rsidP="00B2673A">
            <w:pPr>
              <w:pStyle w:val="TableHeader"/>
            </w:pPr>
            <w:r>
              <w:t>ANALYSE DU RETOUR D’INFORMATION</w:t>
            </w:r>
          </w:p>
        </w:tc>
        <w:tc>
          <w:tcPr>
            <w:tcW w:w="1415" w:type="dxa"/>
            <w:tcBorders>
              <w:left w:val="single" w:sz="4" w:space="0" w:color="FFFFFF" w:themeColor="background1"/>
            </w:tcBorders>
            <w:shd w:val="clear" w:color="auto" w:fill="943482"/>
          </w:tcPr>
          <w:p w14:paraId="0BBAF2AB" w14:textId="3C03C2B9" w:rsidR="00CA33F7" w:rsidRPr="00AB65F6" w:rsidRDefault="00CA33F7" w:rsidP="00B2673A">
            <w:pPr>
              <w:pStyle w:val="TableHeader"/>
            </w:pPr>
            <w:r>
              <w:t>PARTAGE DU RETOUR D’INFORMATION</w:t>
            </w:r>
          </w:p>
        </w:tc>
      </w:tr>
      <w:tr w:rsidR="002F36B4" w:rsidRPr="002324C4" w14:paraId="1FA2F6A2" w14:textId="459B8691" w:rsidTr="009F7DBF">
        <w:trPr>
          <w:trHeight w:val="432"/>
        </w:trPr>
        <w:tc>
          <w:tcPr>
            <w:tcW w:w="1250" w:type="dxa"/>
            <w:shd w:val="clear" w:color="auto" w:fill="EADDEB"/>
          </w:tcPr>
          <w:p w14:paraId="01952B1C" w14:textId="3F589EB0" w:rsidR="00897318" w:rsidRPr="00AB65F6" w:rsidRDefault="00897318" w:rsidP="00B2673A">
            <w:pPr>
              <w:pStyle w:val="BodyCopy"/>
              <w:jc w:val="left"/>
            </w:pPr>
            <w:r>
              <w:rPr>
                <w:b/>
              </w:rPr>
              <w:t xml:space="preserve">Niveau local </w:t>
            </w:r>
          </w:p>
        </w:tc>
        <w:tc>
          <w:tcPr>
            <w:tcW w:w="2422" w:type="dxa"/>
            <w:shd w:val="clear" w:color="auto" w:fill="EADDEB"/>
          </w:tcPr>
          <w:p w14:paraId="52A3701E" w14:textId="55C9EA96" w:rsidR="00897318" w:rsidRPr="00AB65F6" w:rsidRDefault="00897318" w:rsidP="00B2673A">
            <w:pPr>
              <w:pStyle w:val="BodyCopy"/>
              <w:jc w:val="left"/>
            </w:pPr>
            <w:r>
              <w:t>Motive les décisions au niveau local qui peuvent être prises par l’équipe en collaboration avec les acteurs locaux.</w:t>
            </w:r>
          </w:p>
        </w:tc>
        <w:tc>
          <w:tcPr>
            <w:tcW w:w="2446" w:type="dxa"/>
            <w:shd w:val="clear" w:color="auto" w:fill="EADDEB"/>
          </w:tcPr>
          <w:p w14:paraId="63110969" w14:textId="38AC0CCF" w:rsidR="00897318" w:rsidRPr="00AB65F6" w:rsidRDefault="00897318" w:rsidP="00B2673A">
            <w:pPr>
              <w:pStyle w:val="BodyCopy"/>
              <w:jc w:val="left"/>
            </w:pPr>
            <w:r>
              <w:t>Si le retour d'information n’est recueilli que dans une zone géographique réduite et concerne un petit nombre de projets réalisés par une seule équipe.</w:t>
            </w:r>
          </w:p>
        </w:tc>
        <w:tc>
          <w:tcPr>
            <w:tcW w:w="2053" w:type="dxa"/>
            <w:shd w:val="clear" w:color="auto" w:fill="EADDEB"/>
          </w:tcPr>
          <w:p w14:paraId="044F11C5" w14:textId="3B7442D5" w:rsidR="00897318" w:rsidRPr="00AB65F6" w:rsidRDefault="00897318" w:rsidP="00B2673A">
            <w:pPr>
              <w:pStyle w:val="BodyCopy"/>
              <w:jc w:val="left"/>
            </w:pPr>
            <w:r>
              <w:t>Le retour d'information peut être documenté, analysé et discuté dans la/les langue(s) locale(s).</w:t>
            </w:r>
          </w:p>
        </w:tc>
        <w:tc>
          <w:tcPr>
            <w:tcW w:w="2430" w:type="dxa"/>
            <w:shd w:val="clear" w:color="auto" w:fill="EADDEB"/>
          </w:tcPr>
          <w:p w14:paraId="3D28D203" w14:textId="7634B2DA" w:rsidR="00897318" w:rsidRPr="00AB65F6" w:rsidRDefault="00897318" w:rsidP="00B2673A">
            <w:pPr>
              <w:pStyle w:val="BodyCopy"/>
              <w:jc w:val="left"/>
            </w:pPr>
            <w:r>
              <w:t>Le retour d'information peut être consolidé oralement au cours de réunions périodiques ou ajouté à un journal de bord ou une base de données gérés par l’équipe locale.</w:t>
            </w:r>
          </w:p>
        </w:tc>
        <w:tc>
          <w:tcPr>
            <w:tcW w:w="2018" w:type="dxa"/>
            <w:shd w:val="clear" w:color="auto" w:fill="EADDEB"/>
          </w:tcPr>
          <w:p w14:paraId="7A863879" w14:textId="5EBE4E5A" w:rsidR="00897318" w:rsidRPr="00AB65F6" w:rsidRDefault="00897318" w:rsidP="00B2673A">
            <w:pPr>
              <w:pStyle w:val="BodyCopy"/>
              <w:jc w:val="left"/>
            </w:pPr>
            <w:r>
              <w:t>L’équipe se rencontre régulièrement pour discuter de ce qui a été entendu et pour décider des actions.</w:t>
            </w:r>
          </w:p>
        </w:tc>
        <w:tc>
          <w:tcPr>
            <w:tcW w:w="1415" w:type="dxa"/>
            <w:shd w:val="clear" w:color="auto" w:fill="EADDEB"/>
          </w:tcPr>
          <w:p w14:paraId="0A3164F5" w14:textId="45D0C7F5" w:rsidR="00897318" w:rsidRPr="00AB65F6" w:rsidRDefault="00897318" w:rsidP="00B2673A">
            <w:pPr>
              <w:pStyle w:val="BodyCopy"/>
              <w:jc w:val="left"/>
            </w:pPr>
            <w:r>
              <w:t>Les résultats sont communiqués avec les autres équipes locales et les autres parties prenantes locales, notamment la communauté.</w:t>
            </w:r>
          </w:p>
        </w:tc>
      </w:tr>
      <w:tr w:rsidR="002F36B4" w:rsidRPr="002324C4" w14:paraId="05BAE998" w14:textId="2702FD05" w:rsidTr="009F7DBF">
        <w:trPr>
          <w:trHeight w:val="2241"/>
        </w:trPr>
        <w:tc>
          <w:tcPr>
            <w:tcW w:w="1250" w:type="dxa"/>
            <w:shd w:val="clear" w:color="auto" w:fill="CAA7C8"/>
          </w:tcPr>
          <w:p w14:paraId="49DC777F" w14:textId="45EF8D6C" w:rsidR="00897318" w:rsidRPr="00AB65F6" w:rsidRDefault="00897318" w:rsidP="00B2673A">
            <w:pPr>
              <w:pStyle w:val="BodyCopy"/>
              <w:jc w:val="left"/>
            </w:pPr>
            <w:r>
              <w:rPr>
                <w:b/>
              </w:rPr>
              <w:t>Niveau du district/de la succursale</w:t>
            </w:r>
          </w:p>
        </w:tc>
        <w:tc>
          <w:tcPr>
            <w:tcW w:w="2422" w:type="dxa"/>
            <w:shd w:val="clear" w:color="auto" w:fill="CAA7C8"/>
          </w:tcPr>
          <w:p w14:paraId="29E12A64" w14:textId="3CB31278" w:rsidR="00897318" w:rsidRPr="00AB65F6" w:rsidRDefault="00897318" w:rsidP="00B2673A">
            <w:pPr>
              <w:pStyle w:val="BodyCopy"/>
              <w:jc w:val="left"/>
            </w:pPr>
            <w:r>
              <w:t>Motive les décisions au niveau du district/de la succursale qui pourraient être prises en coordination avec les partenaires au niveau de la succursale. Il aide également l’analyse et l'action au niveau local.</w:t>
            </w:r>
          </w:p>
        </w:tc>
        <w:tc>
          <w:tcPr>
            <w:tcW w:w="2446" w:type="dxa"/>
            <w:shd w:val="clear" w:color="auto" w:fill="CAA7C8"/>
          </w:tcPr>
          <w:p w14:paraId="3E23FD58" w14:textId="53873A5C" w:rsidR="00897318" w:rsidRPr="00AB65F6" w:rsidRDefault="00897318" w:rsidP="00B2673A">
            <w:pPr>
              <w:pStyle w:val="BodyCopy"/>
              <w:jc w:val="left"/>
            </w:pPr>
            <w:r>
              <w:t>Si le retour d'information est collecté par plusieurs équipes travaillant dans un district/une succursale et qu'une vue d'ensemble de la situation dans la succursale/le district est nécessaire.</w:t>
            </w:r>
          </w:p>
        </w:tc>
        <w:tc>
          <w:tcPr>
            <w:tcW w:w="2053" w:type="dxa"/>
            <w:shd w:val="clear" w:color="auto" w:fill="CAA7C8"/>
          </w:tcPr>
          <w:p w14:paraId="0FE295D6" w14:textId="05D6ACDF" w:rsidR="00897318" w:rsidRPr="00AB65F6" w:rsidRDefault="00897318" w:rsidP="00B2673A">
            <w:pPr>
              <w:pStyle w:val="BodyCopy"/>
              <w:jc w:val="left"/>
            </w:pPr>
            <w:r>
              <w:t>Les données de retour d'information peuvent être documentées, analysées et discutées dans la/les langue(s) locale(s) si elles sont comprises par tous dans le processus d'analyse.</w:t>
            </w:r>
          </w:p>
        </w:tc>
        <w:tc>
          <w:tcPr>
            <w:tcW w:w="2430" w:type="dxa"/>
            <w:shd w:val="clear" w:color="auto" w:fill="CAA7C8"/>
          </w:tcPr>
          <w:p w14:paraId="2FBBD21F" w14:textId="17B2AB80" w:rsidR="00897318" w:rsidRPr="00AB65F6" w:rsidRDefault="00897318" w:rsidP="00B2673A">
            <w:pPr>
              <w:pStyle w:val="BodyCopy"/>
              <w:jc w:val="left"/>
            </w:pPr>
            <w:r>
              <w:t>Les données de retour d'information sont transférées sur un journal de bord Excel ou téléchargées sur une base de données centrale si elles ont été collectées à l’aide de portables.</w:t>
            </w:r>
          </w:p>
        </w:tc>
        <w:tc>
          <w:tcPr>
            <w:tcW w:w="2018" w:type="dxa"/>
            <w:shd w:val="clear" w:color="auto" w:fill="CAA7C8"/>
          </w:tcPr>
          <w:p w14:paraId="38B173BF" w14:textId="3C6A01BA" w:rsidR="00897318" w:rsidRPr="00AB65F6" w:rsidRDefault="00897318" w:rsidP="00B2673A">
            <w:pPr>
              <w:pStyle w:val="BodyCopy"/>
              <w:jc w:val="left"/>
            </w:pPr>
            <w:r>
              <w:t>Les données sont codées et analysées systématiquement par une équipe au niveau du district/de la succursale.</w:t>
            </w:r>
          </w:p>
        </w:tc>
        <w:tc>
          <w:tcPr>
            <w:tcW w:w="1415" w:type="dxa"/>
            <w:shd w:val="clear" w:color="auto" w:fill="CAA7C8"/>
          </w:tcPr>
          <w:p w14:paraId="0AB23271" w14:textId="49D10733" w:rsidR="00897318" w:rsidRPr="00AB65F6" w:rsidRDefault="00897318" w:rsidP="00B2673A">
            <w:pPr>
              <w:pStyle w:val="BodyCopy"/>
              <w:jc w:val="left"/>
            </w:pPr>
            <w:r>
              <w:t>Les résultats sont communiqués et discutés avec toutes les équipes du district/de la succursale et avec les partenaires au niveau du district pour promouvoir et coordonner une action commune en réponse au retour d'information.</w:t>
            </w:r>
          </w:p>
        </w:tc>
      </w:tr>
      <w:tr w:rsidR="002F36B4" w:rsidRPr="002324C4" w14:paraId="62008034" w14:textId="16CA2780" w:rsidTr="009F7DBF">
        <w:trPr>
          <w:trHeight w:val="432"/>
        </w:trPr>
        <w:tc>
          <w:tcPr>
            <w:tcW w:w="1250" w:type="dxa"/>
            <w:shd w:val="clear" w:color="auto" w:fill="EADDEB"/>
          </w:tcPr>
          <w:p w14:paraId="4EDDBAE3" w14:textId="7C0BB282" w:rsidR="00897318" w:rsidRPr="00AB65F6" w:rsidRDefault="00897318" w:rsidP="00B2673A">
            <w:pPr>
              <w:pStyle w:val="BodyCopy"/>
              <w:jc w:val="left"/>
            </w:pPr>
            <w:r>
              <w:rPr>
                <w:b/>
              </w:rPr>
              <w:t>Niveau national</w:t>
            </w:r>
          </w:p>
        </w:tc>
        <w:tc>
          <w:tcPr>
            <w:tcW w:w="2422" w:type="dxa"/>
            <w:shd w:val="clear" w:color="auto" w:fill="EADDEB"/>
          </w:tcPr>
          <w:p w14:paraId="2B5783A4" w14:textId="1C26D155" w:rsidR="00897318" w:rsidRPr="00AB65F6" w:rsidRDefault="00897318" w:rsidP="00B2673A">
            <w:pPr>
              <w:pStyle w:val="BodyCopy"/>
              <w:jc w:val="left"/>
            </w:pPr>
            <w:r>
              <w:t xml:space="preserve">Motive les décisions au niveau national en ce qui concerne l’ensemble de l’organisation ou opération, il soutient aussi l'analyse et les mesures aux niveaux plus proches des communautés. Des mesures pourraient être </w:t>
            </w:r>
            <w:r>
              <w:lastRenderedPageBreak/>
              <w:t>prises en coordination avec les partenaires au niveau de la coordination nationale.</w:t>
            </w:r>
          </w:p>
        </w:tc>
        <w:tc>
          <w:tcPr>
            <w:tcW w:w="2446" w:type="dxa"/>
            <w:shd w:val="clear" w:color="auto" w:fill="EADDEB"/>
          </w:tcPr>
          <w:p w14:paraId="5761E7A5" w14:textId="6F6B3370" w:rsidR="00897318" w:rsidRPr="00AB65F6" w:rsidRDefault="00897318" w:rsidP="00B2673A">
            <w:pPr>
              <w:pStyle w:val="BodyCopy"/>
              <w:jc w:val="left"/>
            </w:pPr>
            <w:r>
              <w:lastRenderedPageBreak/>
              <w:t>Si le retour d'information est collecté dans plusieurs districts/succursales et qu'une vue d'ensemble de la situation dans l’ensemble du pays est nécessaire.</w:t>
            </w:r>
          </w:p>
        </w:tc>
        <w:tc>
          <w:tcPr>
            <w:tcW w:w="2053" w:type="dxa"/>
            <w:shd w:val="clear" w:color="auto" w:fill="EADDEB"/>
          </w:tcPr>
          <w:p w14:paraId="431FD0EA" w14:textId="7EA14A91" w:rsidR="00897318" w:rsidRPr="00AB65F6" w:rsidRDefault="00897318" w:rsidP="00B2673A">
            <w:pPr>
              <w:pStyle w:val="BodyCopy"/>
              <w:jc w:val="left"/>
            </w:pPr>
            <w:r>
              <w:t>La traduction dans la langue nationale des données du retour d'information sera peut-être nécessaire si la/les langue(s) locale(s) n’est pas comprise par tous dans le processus d'analyse.</w:t>
            </w:r>
          </w:p>
        </w:tc>
        <w:tc>
          <w:tcPr>
            <w:tcW w:w="2430" w:type="dxa"/>
            <w:shd w:val="clear" w:color="auto" w:fill="EADDEB"/>
          </w:tcPr>
          <w:p w14:paraId="67A13364" w14:textId="0CB698B0" w:rsidR="00897318" w:rsidRPr="00AB65F6" w:rsidRDefault="00897318" w:rsidP="00B2673A">
            <w:pPr>
              <w:pStyle w:val="BodyCopy"/>
              <w:jc w:val="left"/>
            </w:pPr>
            <w:r>
              <w:t>Les données de retour d'information sont transférées sur un journal de bord Excel qui doit être partagé avec l’équipe au niveau national ou téléchargées sur une base de données centrale si elles ont été collectées à l’aide de portables.</w:t>
            </w:r>
          </w:p>
        </w:tc>
        <w:tc>
          <w:tcPr>
            <w:tcW w:w="2018" w:type="dxa"/>
            <w:shd w:val="clear" w:color="auto" w:fill="EADDEB"/>
          </w:tcPr>
          <w:p w14:paraId="645A2806" w14:textId="540C3CBA" w:rsidR="00897318" w:rsidRPr="00AB65F6" w:rsidRDefault="00897318" w:rsidP="00B2673A">
            <w:pPr>
              <w:pStyle w:val="BodyCopy"/>
              <w:jc w:val="left"/>
            </w:pPr>
            <w:r>
              <w:t>Les données sont codées et analysées systématiquement par une équipe au niveau national.</w:t>
            </w:r>
          </w:p>
        </w:tc>
        <w:tc>
          <w:tcPr>
            <w:tcW w:w="1415" w:type="dxa"/>
            <w:shd w:val="clear" w:color="auto" w:fill="EADDEB"/>
          </w:tcPr>
          <w:p w14:paraId="71BE55CE" w14:textId="74828C86" w:rsidR="00897318" w:rsidRPr="00AB65F6" w:rsidRDefault="00897318" w:rsidP="00B2673A">
            <w:pPr>
              <w:pStyle w:val="BodyCopy"/>
              <w:jc w:val="left"/>
            </w:pPr>
            <w:r>
              <w:t xml:space="preserve">Les résultats sont communiqués et discutés avec toutes les équipes au niveau national et avec les partenaires au niveau national pour promouvoir et coordonner une action commune en réponse </w:t>
            </w:r>
            <w:r>
              <w:lastRenderedPageBreak/>
              <w:t>au retour d'information.</w:t>
            </w:r>
          </w:p>
        </w:tc>
      </w:tr>
      <w:tr w:rsidR="002F36B4" w:rsidRPr="002324C4" w14:paraId="0944215B" w14:textId="2E26F0C0" w:rsidTr="009F7DBF">
        <w:trPr>
          <w:trHeight w:val="432"/>
        </w:trPr>
        <w:tc>
          <w:tcPr>
            <w:tcW w:w="1250" w:type="dxa"/>
            <w:shd w:val="clear" w:color="auto" w:fill="CAA7C8"/>
          </w:tcPr>
          <w:p w14:paraId="50AE43FD" w14:textId="2F461D01" w:rsidR="00897318" w:rsidRPr="00AB65F6" w:rsidRDefault="00897318" w:rsidP="00B2673A">
            <w:pPr>
              <w:pStyle w:val="BodyCopy"/>
              <w:jc w:val="left"/>
            </w:pPr>
            <w:r>
              <w:rPr>
                <w:b/>
              </w:rPr>
              <w:lastRenderedPageBreak/>
              <w:t>Niveau inter-agences ou régional</w:t>
            </w:r>
          </w:p>
        </w:tc>
        <w:tc>
          <w:tcPr>
            <w:tcW w:w="2422" w:type="dxa"/>
            <w:shd w:val="clear" w:color="auto" w:fill="CAA7C8"/>
          </w:tcPr>
          <w:p w14:paraId="48732B62" w14:textId="6026CE5D" w:rsidR="00897318" w:rsidRPr="00AB65F6" w:rsidRDefault="00897318" w:rsidP="00B2673A">
            <w:pPr>
              <w:pStyle w:val="BodyCopy"/>
              <w:jc w:val="left"/>
            </w:pPr>
            <w:r>
              <w:t>Motive les décisions inter-agences et/ou régionales. Des mesures peuvent être prises en coordination avec les partenaires au niveau de la coordination nationale et régionale.</w:t>
            </w:r>
          </w:p>
        </w:tc>
        <w:tc>
          <w:tcPr>
            <w:tcW w:w="2446" w:type="dxa"/>
            <w:shd w:val="clear" w:color="auto" w:fill="CAA7C8"/>
          </w:tcPr>
          <w:p w14:paraId="05542CB7" w14:textId="47D8858B" w:rsidR="00897318" w:rsidRPr="00AB65F6" w:rsidRDefault="00897318" w:rsidP="00B2673A">
            <w:pPr>
              <w:pStyle w:val="BodyCopy"/>
              <w:jc w:val="left"/>
            </w:pPr>
            <w:r>
              <w:t>Si le retour d'information est collecté dans plusieurs pays et/ou par plusieurs organisations. Ce point est particulièrement important lors de catastrophes de grande ampleur, telles que les pandémies ou les catastrophes naturelles touchant plusieurs pays.</w:t>
            </w:r>
          </w:p>
        </w:tc>
        <w:tc>
          <w:tcPr>
            <w:tcW w:w="2053" w:type="dxa"/>
            <w:shd w:val="clear" w:color="auto" w:fill="CAA7C8"/>
          </w:tcPr>
          <w:p w14:paraId="3D3C3BB8" w14:textId="5887F49F" w:rsidR="00897318" w:rsidRPr="00AB65F6" w:rsidRDefault="00897318" w:rsidP="00B2673A">
            <w:pPr>
              <w:pStyle w:val="BodyCopy"/>
              <w:jc w:val="left"/>
            </w:pPr>
            <w:r>
              <w:t>La traduction dans la langue utilisée au niveau national ou régional des données du retour d'information sera nécessaire si la/les langue(s) locale(s) n’est pas comprise par tous dans le processus d'analyse.</w:t>
            </w:r>
          </w:p>
        </w:tc>
        <w:tc>
          <w:tcPr>
            <w:tcW w:w="2430" w:type="dxa"/>
            <w:shd w:val="clear" w:color="auto" w:fill="CAA7C8"/>
          </w:tcPr>
          <w:p w14:paraId="72C04A68" w14:textId="77777777" w:rsidR="00897318" w:rsidRPr="00AB65F6" w:rsidRDefault="00897318" w:rsidP="00B2673A">
            <w:pPr>
              <w:pStyle w:val="BodyCopy"/>
              <w:jc w:val="left"/>
            </w:pPr>
            <w:r>
              <w:t>Les données de retour d'information sont transférées dans un journal de bord Excel ou téléchargées sur une base de données centrale si elles sont collectées à l’aide de portables.</w:t>
            </w:r>
          </w:p>
          <w:p w14:paraId="2D1CAF40" w14:textId="77777777" w:rsidR="00897318" w:rsidRPr="00E0379B" w:rsidRDefault="00897318" w:rsidP="00B2673A">
            <w:pPr>
              <w:pStyle w:val="BodyCopy"/>
              <w:jc w:val="left"/>
            </w:pPr>
          </w:p>
        </w:tc>
        <w:tc>
          <w:tcPr>
            <w:tcW w:w="2018" w:type="dxa"/>
            <w:shd w:val="clear" w:color="auto" w:fill="CAA7C8"/>
          </w:tcPr>
          <w:p w14:paraId="26EEBD75" w14:textId="55F35F08" w:rsidR="00897318" w:rsidRPr="00AB65F6" w:rsidRDefault="00897318" w:rsidP="00B2673A">
            <w:pPr>
              <w:pStyle w:val="BodyCopy"/>
              <w:jc w:val="left"/>
            </w:pPr>
            <w:r>
              <w:t>Les données sont codées et analysées systématiquement par une équipe au niveau régional et/ou une équipe chargée de réaliser une analyse de l'intervention dans son ensemble.</w:t>
            </w:r>
          </w:p>
        </w:tc>
        <w:tc>
          <w:tcPr>
            <w:tcW w:w="1415" w:type="dxa"/>
            <w:shd w:val="clear" w:color="auto" w:fill="CAA7C8"/>
          </w:tcPr>
          <w:p w14:paraId="2FE704D3" w14:textId="74919B6E" w:rsidR="00897318" w:rsidRPr="00AB65F6" w:rsidRDefault="00897318" w:rsidP="00B2673A">
            <w:pPr>
              <w:pStyle w:val="BodyCopy"/>
              <w:jc w:val="left"/>
            </w:pPr>
            <w:r>
              <w:t xml:space="preserve">Les résultats sont communiqués et discutés dans des réunions de coordination inter-agences. </w:t>
            </w:r>
          </w:p>
        </w:tc>
      </w:tr>
    </w:tbl>
    <w:p w14:paraId="5374CC0E" w14:textId="1A37A0C3" w:rsidR="00641907" w:rsidRPr="00E0379B" w:rsidRDefault="00641907" w:rsidP="00CB2789">
      <w:pPr>
        <w:pStyle w:val="BodyCopy"/>
      </w:pPr>
    </w:p>
    <w:sectPr w:rsidR="00641907" w:rsidRPr="00E0379B" w:rsidSect="005A4A5C">
      <w:footerReference w:type="even" r:id="rId12"/>
      <w:footerReference w:type="default" r:id="rId13"/>
      <w:headerReference w:type="first" r:id="rId14"/>
      <w:footerReference w:type="first" r:id="rId15"/>
      <w:type w:val="continuous"/>
      <w:pgSz w:w="16838" w:h="11906" w:orient="landscape"/>
      <w:pgMar w:top="720" w:right="1417" w:bottom="1417" w:left="1417"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7148E" w14:textId="77777777" w:rsidR="00726F17" w:rsidRDefault="00726F17" w:rsidP="00061220">
      <w:r>
        <w:separator/>
      </w:r>
    </w:p>
  </w:endnote>
  <w:endnote w:type="continuationSeparator" w:id="0">
    <w:p w14:paraId="3E2EE7FA" w14:textId="77777777" w:rsidR="00726F17" w:rsidRDefault="00726F17"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ZapfDingbats BT">
    <w:panose1 w:val="020B0604020202020204"/>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13ABE" w14:textId="3439BDDD" w:rsidR="00263695" w:rsidRDefault="00B44B5B">
    <w:pPr>
      <w:pStyle w:val="Footer"/>
    </w:pPr>
    <w:r>
      <w:rPr>
        <w:noProof/>
      </w:rPr>
      <mc:AlternateContent>
        <mc:Choice Requires="wps">
          <w:drawing>
            <wp:anchor distT="0" distB="0" distL="0" distR="0" simplePos="0" relativeHeight="251659264" behindDoc="0" locked="0" layoutInCell="1" allowOverlap="1" wp14:anchorId="2635A09A" wp14:editId="05EC834A">
              <wp:simplePos x="635" y="635"/>
              <wp:positionH relativeFrom="page">
                <wp:align>left</wp:align>
              </wp:positionH>
              <wp:positionV relativeFrom="page">
                <wp:align>bottom</wp:align>
              </wp:positionV>
              <wp:extent cx="443865" cy="443865"/>
              <wp:effectExtent l="0" t="0" r="6350" b="0"/>
              <wp:wrapNone/>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42FF5" w14:textId="6B9095FB" w:rsidR="00B44B5B" w:rsidRPr="00B44B5B" w:rsidRDefault="00B44B5B" w:rsidP="00B44B5B">
                          <w:pPr>
                            <w:rPr>
                              <w:rFonts w:ascii="Calibri" w:eastAsia="Calibri" w:hAnsi="Calibri" w:cs="Calibri"/>
                              <w:noProof/>
                              <w:color w:val="000000"/>
                              <w:sz w:val="20"/>
                              <w:szCs w:val="20"/>
                            </w:rPr>
                          </w:pPr>
                          <w:r w:rsidRPr="00B44B5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2635A09A">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B44B5B" w:rsidR="00B44B5B" w:rsidP="00B44B5B" w:rsidRDefault="00B44B5B" w14:paraId="31642FF5" w14:textId="6B9095FB">
                    <w:pPr>
                      <w:rPr>
                        <w:rFonts w:ascii="Calibri" w:hAnsi="Calibri" w:eastAsia="Calibri" w:cs="Calibri"/>
                        <w:noProof/>
                        <w:color w:val="000000"/>
                        <w:sz w:val="20"/>
                        <w:szCs w:val="20"/>
                      </w:rPr>
                    </w:pPr>
                    <w:r w:rsidRPr="00B44B5B">
                      <w:rPr>
                        <w:rFonts w:ascii="Calibri" w:hAnsi="Calibri" w:eastAsia="Calibri" w:cs="Calibri"/>
                        <w:noProof/>
                        <w:color w:val="000000"/>
                        <w:sz w:val="20"/>
                        <w:szCs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3C9B" w14:textId="78D7929A" w:rsidR="00263695" w:rsidRDefault="00B44B5B">
    <w:pPr>
      <w:pStyle w:val="Footer"/>
    </w:pPr>
    <w:r>
      <w:rPr>
        <w:noProof/>
      </w:rPr>
      <mc:AlternateContent>
        <mc:Choice Requires="wps">
          <w:drawing>
            <wp:anchor distT="0" distB="0" distL="0" distR="0" simplePos="0" relativeHeight="251660288" behindDoc="0" locked="0" layoutInCell="1" allowOverlap="1" wp14:anchorId="01201E87" wp14:editId="74E0FEEF">
              <wp:simplePos x="901700" y="7219950"/>
              <wp:positionH relativeFrom="page">
                <wp:align>left</wp:align>
              </wp:positionH>
              <wp:positionV relativeFrom="page">
                <wp:align>bottom</wp:align>
              </wp:positionV>
              <wp:extent cx="443865" cy="443865"/>
              <wp:effectExtent l="0" t="0" r="6350" b="0"/>
              <wp:wrapNone/>
              <wp:docPr id="4" name="Text Box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2B1ED2" w14:textId="024A36C9" w:rsidR="00B44B5B" w:rsidRPr="00B44B5B" w:rsidRDefault="00B44B5B" w:rsidP="00B44B5B">
                          <w:pPr>
                            <w:rPr>
                              <w:rFonts w:ascii="Calibri" w:eastAsia="Calibri" w:hAnsi="Calibri" w:cs="Calibri"/>
                              <w:noProof/>
                              <w:color w:val="000000"/>
                              <w:sz w:val="20"/>
                              <w:szCs w:val="20"/>
                            </w:rPr>
                          </w:pPr>
                          <w:r w:rsidRPr="00B44B5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01201E87">
              <v:stroke joinstyle="miter"/>
              <v:path gradientshapeok="t" o:connecttype="rect"/>
            </v:shapetype>
            <v:shape id="Text Box 4"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B44B5B" w:rsidR="00B44B5B" w:rsidP="00B44B5B" w:rsidRDefault="00B44B5B" w14:paraId="252B1ED2" w14:textId="024A36C9">
                    <w:pPr>
                      <w:rPr>
                        <w:rFonts w:ascii="Calibri" w:hAnsi="Calibri" w:eastAsia="Calibri" w:cs="Calibri"/>
                        <w:noProof/>
                        <w:color w:val="000000"/>
                        <w:sz w:val="20"/>
                        <w:szCs w:val="20"/>
                      </w:rPr>
                    </w:pPr>
                    <w:r w:rsidRPr="00B44B5B">
                      <w:rPr>
                        <w:rFonts w:ascii="Calibri" w:hAnsi="Calibri" w:eastAsia="Calibri" w:cs="Calibri"/>
                        <w:noProof/>
                        <w:color w:val="000000"/>
                        <w:sz w:val="20"/>
                        <w:szCs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743A" w14:textId="66D3B96C" w:rsidR="00263695" w:rsidRDefault="00B44B5B">
    <w:pPr>
      <w:pStyle w:val="Footer"/>
    </w:pPr>
    <w:r>
      <w:rPr>
        <w:noProof/>
      </w:rPr>
      <mc:AlternateContent>
        <mc:Choice Requires="wps">
          <w:drawing>
            <wp:anchor distT="0" distB="0" distL="0" distR="0" simplePos="0" relativeHeight="251658240" behindDoc="0" locked="0" layoutInCell="1" allowOverlap="1" wp14:anchorId="637D41D1" wp14:editId="253D2BF0">
              <wp:simplePos x="900430" y="7218680"/>
              <wp:positionH relativeFrom="page">
                <wp:align>left</wp:align>
              </wp:positionH>
              <wp:positionV relativeFrom="page">
                <wp:align>bottom</wp:align>
              </wp:positionV>
              <wp:extent cx="443865" cy="443865"/>
              <wp:effectExtent l="0" t="0" r="6350" b="0"/>
              <wp:wrapNone/>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AEF41C" w14:textId="1CD7B1A9" w:rsidR="00B44B5B" w:rsidRPr="00B44B5B" w:rsidRDefault="00B44B5B" w:rsidP="00B44B5B">
                          <w:pPr>
                            <w:rPr>
                              <w:rFonts w:ascii="Calibri" w:eastAsia="Calibri" w:hAnsi="Calibri" w:cs="Calibri"/>
                              <w:noProof/>
                              <w:color w:val="000000"/>
                              <w:sz w:val="20"/>
                              <w:szCs w:val="20"/>
                            </w:rPr>
                          </w:pPr>
                          <w:r w:rsidRPr="00B44B5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637D41D1">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fill o:detectmouseclick="t"/>
              <v:textbox style="mso-fit-shape-to-text:t" inset="20pt,0,0,15pt">
                <w:txbxContent>
                  <w:p w:rsidRPr="00B44B5B" w:rsidR="00B44B5B" w:rsidP="00B44B5B" w:rsidRDefault="00B44B5B" w14:paraId="52AEF41C" w14:textId="1CD7B1A9">
                    <w:pPr>
                      <w:rPr>
                        <w:rFonts w:ascii="Calibri" w:hAnsi="Calibri" w:eastAsia="Calibri" w:cs="Calibri"/>
                        <w:noProof/>
                        <w:color w:val="000000"/>
                        <w:sz w:val="20"/>
                        <w:szCs w:val="20"/>
                      </w:rPr>
                    </w:pPr>
                    <w:r w:rsidRPr="00B44B5B">
                      <w:rPr>
                        <w:rFonts w:ascii="Calibri" w:hAnsi="Calibri" w:eastAsia="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E4910" w14:textId="77777777" w:rsidR="00726F17" w:rsidRPr="00C64CF2" w:rsidRDefault="00726F17" w:rsidP="00061220">
      <w:pPr>
        <w:rPr>
          <w:color w:val="873174"/>
        </w:rPr>
      </w:pPr>
      <w:r w:rsidRPr="00C64CF2">
        <w:rPr>
          <w:color w:val="873174"/>
        </w:rPr>
        <w:separator/>
      </w:r>
    </w:p>
  </w:footnote>
  <w:footnote w:type="continuationSeparator" w:id="0">
    <w:p w14:paraId="1999DA91" w14:textId="77777777" w:rsidR="00726F17" w:rsidRDefault="00726F17"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92EF9" w14:textId="4E1578E1" w:rsidR="00AB65F6" w:rsidRPr="007A7358" w:rsidRDefault="00AB65F6" w:rsidP="00FF5A47">
    <w:pPr>
      <w:pStyle w:val="TOOLTITLE"/>
    </w:pPr>
    <w:r>
      <w:t>DÉTERMINER L’AMPLEUR D’UN MÉCANISME DE RETOUR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4F232AE"/>
    <w:multiLevelType w:val="multilevel"/>
    <w:tmpl w:val="F9C20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3910C0C"/>
    <w:multiLevelType w:val="hybridMultilevel"/>
    <w:tmpl w:val="96163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22932459">
    <w:abstractNumId w:val="13"/>
  </w:num>
  <w:num w:numId="2" w16cid:durableId="227689879">
    <w:abstractNumId w:val="18"/>
  </w:num>
  <w:num w:numId="3" w16cid:durableId="134298949">
    <w:abstractNumId w:val="19"/>
  </w:num>
  <w:num w:numId="4" w16cid:durableId="767164520">
    <w:abstractNumId w:val="17"/>
  </w:num>
  <w:num w:numId="5" w16cid:durableId="1677149202">
    <w:abstractNumId w:val="20"/>
  </w:num>
  <w:num w:numId="6" w16cid:durableId="1001784400">
    <w:abstractNumId w:val="14"/>
  </w:num>
  <w:num w:numId="7" w16cid:durableId="1977753139">
    <w:abstractNumId w:val="16"/>
  </w:num>
  <w:num w:numId="8" w16cid:durableId="24647215">
    <w:abstractNumId w:val="4"/>
  </w:num>
  <w:num w:numId="9" w16cid:durableId="48456663">
    <w:abstractNumId w:val="5"/>
  </w:num>
  <w:num w:numId="10" w16cid:durableId="514421596">
    <w:abstractNumId w:val="6"/>
  </w:num>
  <w:num w:numId="11" w16cid:durableId="2064326744">
    <w:abstractNumId w:val="7"/>
  </w:num>
  <w:num w:numId="12" w16cid:durableId="840119292">
    <w:abstractNumId w:val="9"/>
  </w:num>
  <w:num w:numId="13" w16cid:durableId="1987510637">
    <w:abstractNumId w:val="0"/>
  </w:num>
  <w:num w:numId="14" w16cid:durableId="992367569">
    <w:abstractNumId w:val="1"/>
  </w:num>
  <w:num w:numId="15" w16cid:durableId="1621836808">
    <w:abstractNumId w:val="2"/>
  </w:num>
  <w:num w:numId="16" w16cid:durableId="2003043014">
    <w:abstractNumId w:val="3"/>
  </w:num>
  <w:num w:numId="17" w16cid:durableId="1619607376">
    <w:abstractNumId w:val="8"/>
  </w:num>
  <w:num w:numId="18" w16cid:durableId="155344026">
    <w:abstractNumId w:val="10"/>
  </w:num>
  <w:num w:numId="19" w16cid:durableId="202791094">
    <w:abstractNumId w:val="12"/>
  </w:num>
  <w:num w:numId="20" w16cid:durableId="522597749">
    <w:abstractNumId w:val="11"/>
  </w:num>
  <w:num w:numId="21" w16cid:durableId="2732953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1486A"/>
    <w:rsid w:val="00061220"/>
    <w:rsid w:val="00077FA4"/>
    <w:rsid w:val="000E3346"/>
    <w:rsid w:val="001D73D0"/>
    <w:rsid w:val="00225581"/>
    <w:rsid w:val="002324C4"/>
    <w:rsid w:val="00255ECA"/>
    <w:rsid w:val="00263695"/>
    <w:rsid w:val="00266931"/>
    <w:rsid w:val="002E5188"/>
    <w:rsid w:val="002F36B4"/>
    <w:rsid w:val="0030145C"/>
    <w:rsid w:val="00331458"/>
    <w:rsid w:val="0035328B"/>
    <w:rsid w:val="003A1D0E"/>
    <w:rsid w:val="003C07F4"/>
    <w:rsid w:val="00400E76"/>
    <w:rsid w:val="004B4F99"/>
    <w:rsid w:val="004C4C89"/>
    <w:rsid w:val="00543096"/>
    <w:rsid w:val="00557894"/>
    <w:rsid w:val="0057554B"/>
    <w:rsid w:val="00591FBA"/>
    <w:rsid w:val="005A333E"/>
    <w:rsid w:val="005A4A5C"/>
    <w:rsid w:val="005B3897"/>
    <w:rsid w:val="005D42F9"/>
    <w:rsid w:val="00603D71"/>
    <w:rsid w:val="00633022"/>
    <w:rsid w:val="00641907"/>
    <w:rsid w:val="006607B4"/>
    <w:rsid w:val="006B2108"/>
    <w:rsid w:val="00726F17"/>
    <w:rsid w:val="00765849"/>
    <w:rsid w:val="007A7358"/>
    <w:rsid w:val="007D4CB9"/>
    <w:rsid w:val="007D7E49"/>
    <w:rsid w:val="00897318"/>
    <w:rsid w:val="008F46E5"/>
    <w:rsid w:val="00912A90"/>
    <w:rsid w:val="0091601F"/>
    <w:rsid w:val="00916A30"/>
    <w:rsid w:val="009B2E45"/>
    <w:rsid w:val="009C15CD"/>
    <w:rsid w:val="009F7DBF"/>
    <w:rsid w:val="00A07325"/>
    <w:rsid w:val="00A3660A"/>
    <w:rsid w:val="00A91CF1"/>
    <w:rsid w:val="00AB2C21"/>
    <w:rsid w:val="00AB65F6"/>
    <w:rsid w:val="00AE7537"/>
    <w:rsid w:val="00AF53A4"/>
    <w:rsid w:val="00B00FA1"/>
    <w:rsid w:val="00B04527"/>
    <w:rsid w:val="00B04DC0"/>
    <w:rsid w:val="00B2673A"/>
    <w:rsid w:val="00B267CF"/>
    <w:rsid w:val="00B34D8B"/>
    <w:rsid w:val="00B44B5B"/>
    <w:rsid w:val="00B51208"/>
    <w:rsid w:val="00B5176D"/>
    <w:rsid w:val="00BF4DD1"/>
    <w:rsid w:val="00BF72FB"/>
    <w:rsid w:val="00C14D1E"/>
    <w:rsid w:val="00C30C1C"/>
    <w:rsid w:val="00C45CC5"/>
    <w:rsid w:val="00C64CF2"/>
    <w:rsid w:val="00CA33F7"/>
    <w:rsid w:val="00CA5CC2"/>
    <w:rsid w:val="00CA774A"/>
    <w:rsid w:val="00CB2789"/>
    <w:rsid w:val="00CC24BD"/>
    <w:rsid w:val="00CE6B25"/>
    <w:rsid w:val="00D84F03"/>
    <w:rsid w:val="00DB2DFF"/>
    <w:rsid w:val="00E0379B"/>
    <w:rsid w:val="00E52B1F"/>
    <w:rsid w:val="00E53507"/>
    <w:rsid w:val="00E92253"/>
    <w:rsid w:val="00EC1340"/>
    <w:rsid w:val="00F31BA9"/>
    <w:rsid w:val="00F408F3"/>
    <w:rsid w:val="00F56D10"/>
    <w:rsid w:val="00F81892"/>
    <w:rsid w:val="00F82BA4"/>
    <w:rsid w:val="00FF5A47"/>
    <w:rsid w:val="59711B5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2" ma:contentTypeDescription="Create a new document." ma:contentTypeScope="" ma:versionID="8d29dc5fa25fc1fcef507a9ef40e34d6">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03b04bbf8a8573d9e89e83f27820dd2"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E3C02B45-109C-4A02-AE7C-5BCBAAAAA94F}"/>
</file>

<file path=customXml/itemProps2.xml><?xml version="1.0" encoding="utf-8"?>
<ds:datastoreItem xmlns:ds="http://schemas.openxmlformats.org/officeDocument/2006/customXml" ds:itemID="{860DD7EF-5DC7-5743-9C05-82A589179BAE}">
  <ds:schemaRefs>
    <ds:schemaRef ds:uri="http://schemas.openxmlformats.org/officeDocument/2006/bibliography"/>
  </ds:schemaRefs>
</ds:datastoreItem>
</file>

<file path=customXml/itemProps3.xml><?xml version="1.0" encoding="utf-8"?>
<ds:datastoreItem xmlns:ds="http://schemas.openxmlformats.org/officeDocument/2006/customXml" ds:itemID="{FFBC376E-1B14-44ED-9679-E5E83F3E24F1}">
  <ds:schemaRefs>
    <ds:schemaRef ds:uri="http://schemas.microsoft.com/sharepoint/v3/contenttype/forms"/>
  </ds:schemaRefs>
</ds:datastoreItem>
</file>

<file path=customXml/itemProps4.xml><?xml version="1.0" encoding="utf-8"?>
<ds:datastoreItem xmlns:ds="http://schemas.openxmlformats.org/officeDocument/2006/customXml" ds:itemID="{75B897C5-648E-44F5-BFFB-5389E5ECFE04}">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1091</Words>
  <Characters>6224</Characters>
  <Application>Microsoft Office Word</Application>
  <DocSecurity>0</DocSecurity>
  <Lines>51</Lines>
  <Paragraphs>14</Paragraphs>
  <ScaleCrop>false</ScaleCrop>
  <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2023-09-05T10:32:00Z</dcterms:created>
  <dcterms:modified xsi:type="dcterms:W3CDTF">2024-04-08T11:36:00Z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1,2,4</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2023-09-05T10:32:22Z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957646a5-a4b9-45eb-a3a0-ba02efc6e47e</vt:lpwstr>
  </property>
  <property fmtid="{D5CDD505-2E9C-101B-9397-08002B2CF9AE}" pid="11" name="MSIP_Label_caf3f7fd-5cd4-4287-9002-aceb9af13c42_ContentBits">
    <vt:lpwstr>2</vt:lpwstr>
  </property>
  <property fmtid="{D5CDD505-2E9C-101B-9397-08002B2CF9AE}" pid="12" name="ContentTypeId">
    <vt:lpwstr>0x01010088EE9237482712449971AC4496F4F58A</vt:lpwstr>
  </property>
  <property fmtid="{D5CDD505-2E9C-101B-9397-08002B2CF9AE}" pid="13" name="MediaServiceImageTags">
    <vt:lpwstr/>
  </property>
</Properties>
</file>