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A69F4" w14:textId="77777777" w:rsidR="00904026" w:rsidRPr="00BA04BA" w:rsidRDefault="00904026" w:rsidP="00904026">
      <w:pPr>
        <w:pStyle w:val="H2"/>
      </w:pPr>
      <w:r>
        <w:t>DE QUOI S’AGIT-IL ?</w:t>
      </w:r>
    </w:p>
    <w:p w14:paraId="737078AD" w14:textId="6CEA76ED" w:rsidR="00904026" w:rsidRPr="00BA04BA" w:rsidRDefault="00904026" w:rsidP="00904026">
      <w:pPr>
        <w:pStyle w:val="BodyCopy"/>
      </w:pPr>
      <w:r>
        <w:t>Cet outil vous permet de clarifier les options que vous avez pour documenter le retour d'information ouvert que vous avez reçu ou que vous allez recevoir par le biais de différents canaux de retour d'information. Pour des conseils et des outils pour identifier les meilleurs canaux de retour d'information pour votre contexte, consultez « Étape 1 : Construire votre mécanisme de retour d'information » dans le kit de retour d'information.</w:t>
      </w:r>
    </w:p>
    <w:p w14:paraId="0303C93D" w14:textId="77777777" w:rsidR="00904026" w:rsidRPr="009F0897" w:rsidRDefault="00904026" w:rsidP="007D7E49">
      <w:pPr>
        <w:pStyle w:val="H1"/>
        <w:rPr>
          <w:sz w:val="20"/>
          <w:szCs w:val="16"/>
        </w:rPr>
      </w:pPr>
    </w:p>
    <w:p w14:paraId="5194CCC2" w14:textId="77777777" w:rsidR="00904026" w:rsidRPr="00BA04BA" w:rsidRDefault="00904026" w:rsidP="00904026">
      <w:pPr>
        <w:pStyle w:val="H2"/>
      </w:pPr>
      <w:r>
        <w:t>COMMENT UTILISER CE GUIDE ?</w:t>
      </w:r>
    </w:p>
    <w:p w14:paraId="21B5C234" w14:textId="77777777" w:rsidR="00904026" w:rsidRPr="00BA04BA" w:rsidRDefault="00904026" w:rsidP="00904026">
      <w:pPr>
        <w:pStyle w:val="BulletNumbers"/>
      </w:pPr>
      <w:r>
        <w:t>Commencez par la première question ci-dessous et suivez les flèches selon vos réponses, ce qui vous conduira vers différentes options quant à la façon de documenter le retour d'information que vous recevez.</w:t>
      </w:r>
    </w:p>
    <w:p w14:paraId="54E7FD76" w14:textId="671DC810" w:rsidR="00904026" w:rsidRPr="00BA04BA" w:rsidRDefault="00904026" w:rsidP="00904026">
      <w:pPr>
        <w:pStyle w:val="BulletNumbers"/>
      </w:pPr>
      <w:r>
        <w:t>Consultez le tableau ci-dessous pour en savoir plus sur les avantages et les inconvénients des différentes manières de documenter les données de retour d'information.</w:t>
      </w:r>
    </w:p>
    <w:p w14:paraId="62F37706" w14:textId="3544D7EE" w:rsidR="00904026" w:rsidRPr="00BA04BA" w:rsidRDefault="00904026" w:rsidP="00904026">
      <w:pPr>
        <w:pStyle w:val="BulletNumbers"/>
      </w:pPr>
      <w:r>
        <w:t>Continuez le processus de mise en place ou de renforcement de votre mécanisme de retour d'information comme indiqué dans « Étape 1 : Construire votre mécanisme de retour d'information ».</w:t>
      </w:r>
    </w:p>
    <w:p w14:paraId="52A69081" w14:textId="20C36397" w:rsidR="00904026" w:rsidRDefault="00904026" w:rsidP="007D7E49">
      <w:pPr>
        <w:pStyle w:val="H1"/>
      </w:pPr>
    </w:p>
    <w:p w14:paraId="71D0E8DD" w14:textId="77777777" w:rsidR="007B0AE2" w:rsidRPr="00BA04BA" w:rsidRDefault="007B0AE2" w:rsidP="007D7E49">
      <w:pPr>
        <w:pStyle w:val="H1"/>
      </w:pPr>
    </w:p>
    <w:p w14:paraId="0DA34473" w14:textId="246CE735" w:rsidR="00904026" w:rsidRPr="009F0897" w:rsidRDefault="00904026" w:rsidP="007D7E49">
      <w:pPr>
        <w:pStyle w:val="H1"/>
      </w:pPr>
    </w:p>
    <w:p w14:paraId="311D9ADC" w14:textId="1E1BD5BA" w:rsidR="007B0AE2" w:rsidRPr="009F0897" w:rsidRDefault="007B0AE2" w:rsidP="007D7E49">
      <w:pPr>
        <w:pStyle w:val="H1"/>
      </w:pPr>
    </w:p>
    <w:p w14:paraId="00F7E2F1" w14:textId="16B4B0A8" w:rsidR="00904026" w:rsidRPr="009F0897" w:rsidRDefault="00904026" w:rsidP="007D7E49">
      <w:pPr>
        <w:pStyle w:val="H1"/>
      </w:pPr>
    </w:p>
    <w:p w14:paraId="1DD83292" w14:textId="3E356CE1" w:rsidR="00CC24BD" w:rsidRDefault="00CC24BD" w:rsidP="007B0AE2"/>
    <w:p w14:paraId="22D3665E" w14:textId="16571BE7" w:rsidR="007B0AE2" w:rsidRPr="007B0AE2" w:rsidRDefault="007B0AE2" w:rsidP="007B0AE2">
      <w:pPr>
        <w:rPr>
          <w:rFonts w:ascii="Helvetica Neue" w:eastAsiaTheme="majorEastAsia" w:hAnsi="Helvetica Neue" w:cstheme="majorBidi"/>
          <w:b/>
          <w:bCs/>
          <w:caps/>
          <w:color w:val="204669"/>
          <w:sz w:val="32"/>
          <w:szCs w:val="32"/>
          <w:u w:val="single"/>
        </w:rPr>
      </w:pPr>
      <w:r>
        <w:rPr>
          <w:rFonts w:ascii="Helvetica Neue" w:eastAsiaTheme="majorEastAsia" w:hAnsi="Helvetica Neue" w:cstheme="majorBidi"/>
          <w:b/>
          <w:bCs/>
          <w:caps/>
          <w:noProof/>
          <w:color w:val="204669"/>
          <w:sz w:val="32"/>
          <w:szCs w:val="32"/>
          <w:u w:val="single"/>
        </w:rPr>
        <w:lastRenderedPageBreak/>
        <w:drawing>
          <wp:inline distT="0" distB="0" distL="0" distR="0" wp14:anchorId="5EC02EC2" wp14:editId="488E5978">
            <wp:extent cx="8744616" cy="5623964"/>
            <wp:effectExtent l="0" t="0" r="0" b="0"/>
            <wp:docPr id="91979110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9791106" name="Picture 919791106"/>
                    <pic:cNvPicPr/>
                  </pic:nvPicPr>
                  <pic:blipFill rotWithShape="1">
                    <a:blip r:embed="rId11">
                      <a:extLst>
                        <a:ext uri="{28A0092B-C50C-407E-A947-70E740481C1C}">
                          <a14:useLocalDpi xmlns:a14="http://schemas.microsoft.com/office/drawing/2010/main" val="0"/>
                        </a:ext>
                      </a:extLst>
                    </a:blip>
                    <a:srcRect l="4600" t="7259" b="13341"/>
                    <a:stretch/>
                  </pic:blipFill>
                  <pic:spPr bwMode="auto">
                    <a:xfrm>
                      <a:off x="0" y="0"/>
                      <a:ext cx="8744616" cy="5623964"/>
                    </a:xfrm>
                    <a:prstGeom prst="rect">
                      <a:avLst/>
                    </a:prstGeom>
                    <a:ln>
                      <a:noFill/>
                    </a:ln>
                    <a:extLst>
                      <a:ext uri="{53640926-AAD7-44D8-BBD7-CCE9431645EC}">
                        <a14:shadowObscured xmlns:a14="http://schemas.microsoft.com/office/drawing/2010/main"/>
                      </a:ext>
                    </a:extLst>
                  </pic:spPr>
                </pic:pic>
              </a:graphicData>
            </a:graphic>
          </wp:inline>
        </w:drawing>
      </w:r>
    </w:p>
    <w:tbl>
      <w:tblPr>
        <w:tblStyle w:val="TableGrid"/>
        <w:tblW w:w="13945" w:type="dxa"/>
        <w:tblBorders>
          <w:top w:val="single" w:sz="4" w:space="0" w:color="873174"/>
          <w:left w:val="single" w:sz="4" w:space="0" w:color="873174"/>
          <w:bottom w:val="single" w:sz="4" w:space="0" w:color="873174"/>
          <w:right w:val="single" w:sz="4" w:space="0" w:color="873174"/>
          <w:insideH w:val="single" w:sz="4" w:space="0" w:color="873174"/>
          <w:insideV w:val="single" w:sz="4" w:space="0" w:color="873174"/>
        </w:tblBorders>
        <w:tblCellMar>
          <w:top w:w="170" w:type="dxa"/>
          <w:bottom w:w="170" w:type="dxa"/>
        </w:tblCellMar>
        <w:tblLook w:val="04A0" w:firstRow="1" w:lastRow="0" w:firstColumn="1" w:lastColumn="0" w:noHBand="0" w:noVBand="1"/>
      </w:tblPr>
      <w:tblGrid>
        <w:gridCol w:w="3823"/>
        <w:gridCol w:w="5528"/>
        <w:gridCol w:w="4594"/>
      </w:tblGrid>
      <w:tr w:rsidR="00CC24BD" w:rsidRPr="00BA04BA" w14:paraId="7A2F3F1D" w14:textId="77777777" w:rsidTr="006757B5">
        <w:tc>
          <w:tcPr>
            <w:tcW w:w="3823" w:type="dxa"/>
            <w:tcBorders>
              <w:right w:val="single" w:sz="4" w:space="0" w:color="FFFFFF" w:themeColor="background1"/>
            </w:tcBorders>
            <w:shd w:val="clear" w:color="auto" w:fill="943482"/>
            <w:tcMar>
              <w:top w:w="58" w:type="dxa"/>
              <w:left w:w="58" w:type="dxa"/>
              <w:bottom w:w="58" w:type="dxa"/>
              <w:right w:w="58" w:type="dxa"/>
            </w:tcMar>
          </w:tcPr>
          <w:p w14:paraId="7B3182A1" w14:textId="47B5BB5F" w:rsidR="00CC24BD" w:rsidRPr="00BA04BA" w:rsidRDefault="00CC24BD" w:rsidP="00A07325">
            <w:pPr>
              <w:pStyle w:val="TableHeader"/>
            </w:pPr>
            <w:r>
              <w:lastRenderedPageBreak/>
              <w:t>TYPE</w:t>
            </w:r>
          </w:p>
        </w:tc>
        <w:tc>
          <w:tcPr>
            <w:tcW w:w="5528" w:type="dxa"/>
            <w:tcBorders>
              <w:left w:val="single" w:sz="4" w:space="0" w:color="FFFFFF" w:themeColor="background1"/>
              <w:right w:val="single" w:sz="4" w:space="0" w:color="FFFFFF" w:themeColor="background1"/>
            </w:tcBorders>
            <w:shd w:val="clear" w:color="auto" w:fill="943482"/>
            <w:tcMar>
              <w:top w:w="58" w:type="dxa"/>
              <w:left w:w="58" w:type="dxa"/>
              <w:bottom w:w="58" w:type="dxa"/>
              <w:right w:w="58" w:type="dxa"/>
            </w:tcMar>
          </w:tcPr>
          <w:p w14:paraId="356D615C" w14:textId="2FE34B54" w:rsidR="00CC24BD" w:rsidRPr="00BA04BA" w:rsidRDefault="00CC24BD" w:rsidP="00A07325">
            <w:pPr>
              <w:pStyle w:val="TableHeader"/>
            </w:pPr>
            <w:r>
              <w:t>AVANTAGES</w:t>
            </w:r>
          </w:p>
        </w:tc>
        <w:tc>
          <w:tcPr>
            <w:tcW w:w="4594" w:type="dxa"/>
            <w:tcBorders>
              <w:left w:val="single" w:sz="4" w:space="0" w:color="FFFFFF" w:themeColor="background1"/>
            </w:tcBorders>
            <w:shd w:val="clear" w:color="auto" w:fill="943482"/>
            <w:tcMar>
              <w:top w:w="58" w:type="dxa"/>
              <w:left w:w="58" w:type="dxa"/>
              <w:bottom w:w="58" w:type="dxa"/>
              <w:right w:w="58" w:type="dxa"/>
            </w:tcMar>
          </w:tcPr>
          <w:p w14:paraId="403CDE77" w14:textId="4F6CCE8F" w:rsidR="00CC24BD" w:rsidRPr="00BA04BA" w:rsidRDefault="00CC24BD" w:rsidP="00A07325">
            <w:pPr>
              <w:pStyle w:val="TableHeader"/>
            </w:pPr>
            <w:r>
              <w:t>INCONVÉNIENTS</w:t>
            </w:r>
          </w:p>
        </w:tc>
      </w:tr>
      <w:tr w:rsidR="00CC24BD" w:rsidRPr="00DB5849" w14:paraId="1FA2F6A2" w14:textId="77777777" w:rsidTr="006757B5">
        <w:tc>
          <w:tcPr>
            <w:tcW w:w="3823" w:type="dxa"/>
            <w:shd w:val="clear" w:color="auto" w:fill="EADDEB"/>
            <w:tcMar>
              <w:top w:w="58" w:type="dxa"/>
              <w:left w:w="58" w:type="dxa"/>
              <w:bottom w:w="58" w:type="dxa"/>
              <w:right w:w="58" w:type="dxa"/>
            </w:tcMar>
          </w:tcPr>
          <w:p w14:paraId="329DD26E" w14:textId="77777777" w:rsidR="00B00FA1" w:rsidRPr="00BA04BA" w:rsidRDefault="00B00FA1" w:rsidP="00B00FA1">
            <w:pPr>
              <w:pStyle w:val="BodyCopy"/>
              <w:jc w:val="left"/>
              <w:rPr>
                <w:rStyle w:val="Bold"/>
              </w:rPr>
            </w:pPr>
            <w:r>
              <w:rPr>
                <w:rStyle w:val="Bold"/>
              </w:rPr>
              <w:t>Collecter et partager le retour d'information oralement</w:t>
            </w:r>
          </w:p>
          <w:p w14:paraId="01952B1C" w14:textId="6B9EA498" w:rsidR="00CC24BD" w:rsidRPr="00BA04BA" w:rsidRDefault="00B00FA1" w:rsidP="00B00FA1">
            <w:pPr>
              <w:pStyle w:val="BodyCopy"/>
              <w:jc w:val="left"/>
            </w:pPr>
            <w:r>
              <w:t>Ne pas enregistrer les informations de manière systématique mais communiquer les éléments principaux lors de debriefings et de réunions hebdomadaires</w:t>
            </w:r>
          </w:p>
        </w:tc>
        <w:tc>
          <w:tcPr>
            <w:tcW w:w="5528" w:type="dxa"/>
            <w:shd w:val="clear" w:color="auto" w:fill="CAA7C8"/>
            <w:tcMar>
              <w:top w:w="58" w:type="dxa"/>
              <w:left w:w="58" w:type="dxa"/>
              <w:bottom w:w="58" w:type="dxa"/>
              <w:right w:w="58" w:type="dxa"/>
            </w:tcMar>
          </w:tcPr>
          <w:p w14:paraId="3B69D60E" w14:textId="381D8D10" w:rsidR="00B00FA1" w:rsidRPr="00BA04BA" w:rsidRDefault="00B00FA1" w:rsidP="00904026">
            <w:pPr>
              <w:pStyle w:val="TableBullet"/>
              <w:ind w:left="223" w:hanging="147"/>
            </w:pPr>
            <w:r>
              <w:t>Du personnel ou des ressources supplémentaires ne sont pas nécessaires.</w:t>
            </w:r>
          </w:p>
          <w:p w14:paraId="6645AC0D" w14:textId="60B97B0C" w:rsidR="00B00FA1" w:rsidRPr="00BA04BA" w:rsidRDefault="00B00FA1" w:rsidP="00904026">
            <w:pPr>
              <w:pStyle w:val="TableBullet"/>
              <w:ind w:left="223" w:hanging="147"/>
            </w:pPr>
            <w:r>
              <w:t>Facile à mettre en place et à intégrer dans des réunions déjà existantes.</w:t>
            </w:r>
          </w:p>
          <w:p w14:paraId="52A3701E" w14:textId="46B26C34" w:rsidR="00CC24BD" w:rsidRPr="00BA04BA" w:rsidRDefault="00B00FA1" w:rsidP="00904026">
            <w:pPr>
              <w:pStyle w:val="TableBullet"/>
              <w:ind w:left="223" w:hanging="147"/>
            </w:pPr>
            <w:r>
              <w:t>Pas d'interruption due aux coupures d’électricité ou d'internet</w:t>
            </w:r>
          </w:p>
        </w:tc>
        <w:tc>
          <w:tcPr>
            <w:tcW w:w="4594" w:type="dxa"/>
            <w:shd w:val="clear" w:color="auto" w:fill="EADDEB"/>
            <w:tcMar>
              <w:top w:w="58" w:type="dxa"/>
              <w:left w:w="58" w:type="dxa"/>
              <w:bottom w:w="58" w:type="dxa"/>
              <w:right w:w="58" w:type="dxa"/>
            </w:tcMar>
          </w:tcPr>
          <w:p w14:paraId="2C47A79F" w14:textId="77777777" w:rsidR="00B00FA1" w:rsidRPr="00BA04BA" w:rsidRDefault="00B00FA1" w:rsidP="00904026">
            <w:pPr>
              <w:pStyle w:val="TableBullet"/>
              <w:ind w:left="223" w:hanging="147"/>
            </w:pPr>
            <w:r>
              <w:t>Les commentaires individuels ne peuvent pas être quantifiés et analysés de manière systématique</w:t>
            </w:r>
          </w:p>
          <w:p w14:paraId="53F64CC3" w14:textId="77777777" w:rsidR="00B00FA1" w:rsidRPr="00BA04BA" w:rsidRDefault="00B00FA1" w:rsidP="00904026">
            <w:pPr>
              <w:pStyle w:val="TableBullet"/>
              <w:ind w:left="223" w:hanging="147"/>
            </w:pPr>
            <w:r>
              <w:t>Facile d’oublier les détails</w:t>
            </w:r>
          </w:p>
          <w:p w14:paraId="63110969" w14:textId="2AEBB20D" w:rsidR="00CC24BD" w:rsidRPr="00BA04BA" w:rsidRDefault="00B00FA1" w:rsidP="00904026">
            <w:pPr>
              <w:pStyle w:val="TableBullet"/>
              <w:ind w:left="223" w:hanging="147"/>
            </w:pPr>
            <w:r>
              <w:t xml:space="preserve">Difficile de partager le retour d'information en utilisant les mots employés par les personnes fournissant le retour d'information </w:t>
            </w:r>
          </w:p>
        </w:tc>
      </w:tr>
      <w:tr w:rsidR="00B00FA1" w:rsidRPr="00DB5849" w14:paraId="05BAE998" w14:textId="77777777" w:rsidTr="006757B5">
        <w:tc>
          <w:tcPr>
            <w:tcW w:w="3823" w:type="dxa"/>
            <w:shd w:val="clear" w:color="auto" w:fill="EADDEB"/>
            <w:tcMar>
              <w:top w:w="58" w:type="dxa"/>
              <w:left w:w="58" w:type="dxa"/>
              <w:bottom w:w="58" w:type="dxa"/>
              <w:right w:w="58" w:type="dxa"/>
            </w:tcMar>
          </w:tcPr>
          <w:p w14:paraId="26C0D3A0" w14:textId="77777777" w:rsidR="00B00FA1" w:rsidRPr="00BA04BA" w:rsidRDefault="00B00FA1" w:rsidP="00B00FA1">
            <w:pPr>
              <w:pStyle w:val="BodyCopy"/>
              <w:jc w:val="left"/>
              <w:rPr>
                <w:rStyle w:val="Bold"/>
              </w:rPr>
            </w:pPr>
            <w:r>
              <w:rPr>
                <w:rStyle w:val="Bold"/>
              </w:rPr>
              <w:t>Enregistrer le retour d'information dans un journal de bord papier</w:t>
            </w:r>
          </w:p>
          <w:p w14:paraId="49DC777F" w14:textId="4E836503" w:rsidR="00B00FA1" w:rsidRPr="00BA04BA" w:rsidRDefault="00B00FA1" w:rsidP="00B00FA1">
            <w:pPr>
              <w:pStyle w:val="BodyCopy"/>
              <w:jc w:val="left"/>
            </w:pPr>
            <w:r>
              <w:t>Tous les commentaires du retour d'information sont notés manuellement dans un journal de bord central</w:t>
            </w:r>
          </w:p>
        </w:tc>
        <w:tc>
          <w:tcPr>
            <w:tcW w:w="5528" w:type="dxa"/>
            <w:shd w:val="clear" w:color="auto" w:fill="CAA7C8"/>
            <w:tcMar>
              <w:top w:w="58" w:type="dxa"/>
              <w:left w:w="58" w:type="dxa"/>
              <w:bottom w:w="58" w:type="dxa"/>
              <w:right w:w="58" w:type="dxa"/>
            </w:tcMar>
          </w:tcPr>
          <w:p w14:paraId="751A8879" w14:textId="77777777" w:rsidR="00B00FA1" w:rsidRPr="00BA04BA" w:rsidRDefault="00B00FA1" w:rsidP="00904026">
            <w:pPr>
              <w:pStyle w:val="TableBullet"/>
              <w:ind w:left="223" w:hanging="147"/>
            </w:pPr>
            <w:r>
              <w:t>Facile à mettre en place</w:t>
            </w:r>
          </w:p>
          <w:p w14:paraId="15F278EE" w14:textId="77777777" w:rsidR="00B00FA1" w:rsidRPr="00BA04BA" w:rsidRDefault="00B00FA1" w:rsidP="00904026">
            <w:pPr>
              <w:pStyle w:val="TableBullet"/>
              <w:ind w:left="223" w:hanging="147"/>
            </w:pPr>
            <w:r>
              <w:t>Ne dépend pas d’un équipement particulier</w:t>
            </w:r>
          </w:p>
          <w:p w14:paraId="29E12A64" w14:textId="1215F664" w:rsidR="00B00FA1" w:rsidRPr="00BA04BA" w:rsidRDefault="00B00FA1" w:rsidP="00904026">
            <w:pPr>
              <w:pStyle w:val="TableBullet"/>
              <w:ind w:left="223" w:hanging="147"/>
            </w:pPr>
            <w:r>
              <w:t>Pas d'interruption due aux coupures d’électricité ou d'internet</w:t>
            </w:r>
          </w:p>
        </w:tc>
        <w:tc>
          <w:tcPr>
            <w:tcW w:w="4594" w:type="dxa"/>
            <w:shd w:val="clear" w:color="auto" w:fill="EADDEB"/>
            <w:tcMar>
              <w:top w:w="58" w:type="dxa"/>
              <w:left w:w="58" w:type="dxa"/>
              <w:bottom w:w="58" w:type="dxa"/>
              <w:right w:w="58" w:type="dxa"/>
            </w:tcMar>
          </w:tcPr>
          <w:p w14:paraId="24EA516F" w14:textId="77777777" w:rsidR="00B00FA1" w:rsidRPr="00BA04BA" w:rsidRDefault="00B00FA1" w:rsidP="00904026">
            <w:pPr>
              <w:pStyle w:val="TableBullet"/>
              <w:ind w:left="223" w:hanging="147"/>
            </w:pPr>
            <w:r>
              <w:t xml:space="preserve">Difficile de partager et d'analyser le retour d'information </w:t>
            </w:r>
          </w:p>
          <w:p w14:paraId="4C42E3EB" w14:textId="77777777" w:rsidR="00B00FA1" w:rsidRPr="00BA04BA" w:rsidRDefault="00B00FA1" w:rsidP="00904026">
            <w:pPr>
              <w:pStyle w:val="TableBullet"/>
              <w:ind w:left="223" w:hanging="147"/>
            </w:pPr>
            <w:r>
              <w:t>Risque d’erreurs humaines</w:t>
            </w:r>
          </w:p>
          <w:p w14:paraId="3E23FD58" w14:textId="3D2E8AFC" w:rsidR="00B00FA1" w:rsidRPr="00BA04BA" w:rsidRDefault="00B00FA1" w:rsidP="00904026">
            <w:pPr>
              <w:pStyle w:val="TableBullet"/>
              <w:ind w:left="223" w:hanging="147"/>
            </w:pPr>
            <w:r>
              <w:t xml:space="preserve">Plus difficile de maintenir en sécurité les informations sensibles et restreindre accès </w:t>
            </w:r>
          </w:p>
        </w:tc>
      </w:tr>
      <w:tr w:rsidR="00B00FA1" w:rsidRPr="00DB5849" w14:paraId="62008034" w14:textId="77777777" w:rsidTr="006757B5">
        <w:tc>
          <w:tcPr>
            <w:tcW w:w="3823" w:type="dxa"/>
            <w:shd w:val="clear" w:color="auto" w:fill="EADDEB"/>
            <w:tcMar>
              <w:top w:w="58" w:type="dxa"/>
              <w:left w:w="58" w:type="dxa"/>
              <w:bottom w:w="58" w:type="dxa"/>
              <w:right w:w="58" w:type="dxa"/>
            </w:tcMar>
          </w:tcPr>
          <w:p w14:paraId="1DCC7E57" w14:textId="77777777" w:rsidR="00B00FA1" w:rsidRPr="00BA04BA" w:rsidRDefault="00B00FA1" w:rsidP="00B00FA1">
            <w:pPr>
              <w:pStyle w:val="BodyCopy"/>
              <w:jc w:val="left"/>
              <w:rPr>
                <w:rStyle w:val="Bold"/>
              </w:rPr>
            </w:pPr>
            <w:r>
              <w:rPr>
                <w:rStyle w:val="Bold"/>
              </w:rPr>
              <w:t>Collecte des données papier</w:t>
            </w:r>
          </w:p>
          <w:p w14:paraId="4EDDBAE3" w14:textId="491789F9" w:rsidR="00B00FA1" w:rsidRPr="00BA04BA" w:rsidRDefault="00B00FA1" w:rsidP="00B00FA1">
            <w:pPr>
              <w:pStyle w:val="BodyCopy"/>
              <w:jc w:val="left"/>
            </w:pPr>
            <w:r>
              <w:t>Avoir avec soi des formulaires papier et enregistrer les informations lorsque le retour d'information est reçu</w:t>
            </w:r>
          </w:p>
        </w:tc>
        <w:tc>
          <w:tcPr>
            <w:tcW w:w="5528" w:type="dxa"/>
            <w:shd w:val="clear" w:color="auto" w:fill="CAA7C8"/>
            <w:tcMar>
              <w:top w:w="58" w:type="dxa"/>
              <w:left w:w="58" w:type="dxa"/>
              <w:bottom w:w="58" w:type="dxa"/>
              <w:right w:w="58" w:type="dxa"/>
            </w:tcMar>
          </w:tcPr>
          <w:p w14:paraId="6F9A0915" w14:textId="77777777" w:rsidR="00B00FA1" w:rsidRPr="00BA04BA" w:rsidRDefault="00B00FA1" w:rsidP="00904026">
            <w:pPr>
              <w:pStyle w:val="TableBullet"/>
              <w:ind w:left="223" w:hanging="147"/>
            </w:pPr>
            <w:r>
              <w:t>Facile à mettre en place</w:t>
            </w:r>
          </w:p>
          <w:p w14:paraId="035B51A9" w14:textId="77777777" w:rsidR="00B00FA1" w:rsidRPr="00BA04BA" w:rsidRDefault="00B00FA1" w:rsidP="00904026">
            <w:pPr>
              <w:pStyle w:val="TableBullet"/>
              <w:ind w:left="223" w:hanging="147"/>
            </w:pPr>
            <w:r>
              <w:t>Ne dépend pas d’un équipement spécial</w:t>
            </w:r>
          </w:p>
          <w:p w14:paraId="61586A94" w14:textId="77777777" w:rsidR="00B00FA1" w:rsidRPr="00BA04BA" w:rsidRDefault="00B00FA1" w:rsidP="00904026">
            <w:pPr>
              <w:pStyle w:val="TableBullet"/>
              <w:ind w:left="223" w:hanging="147"/>
            </w:pPr>
            <w:r>
              <w:t xml:space="preserve">Souvent plus facile à remplir pour ceux qui documentent le retour d'information </w:t>
            </w:r>
          </w:p>
          <w:p w14:paraId="2B5783A4" w14:textId="17FD93B9" w:rsidR="00B00FA1" w:rsidRPr="00BA04BA" w:rsidRDefault="00B00FA1" w:rsidP="00904026">
            <w:pPr>
              <w:pStyle w:val="TableBullet"/>
              <w:ind w:left="223" w:hanging="147"/>
            </w:pPr>
            <w:r>
              <w:t>Pas d'interruption due aux coupures d’électricité ou d'internet</w:t>
            </w:r>
          </w:p>
        </w:tc>
        <w:tc>
          <w:tcPr>
            <w:tcW w:w="4594" w:type="dxa"/>
            <w:shd w:val="clear" w:color="auto" w:fill="EADDEB"/>
            <w:tcMar>
              <w:top w:w="58" w:type="dxa"/>
              <w:left w:w="58" w:type="dxa"/>
              <w:bottom w:w="58" w:type="dxa"/>
              <w:right w:w="58" w:type="dxa"/>
            </w:tcMar>
          </w:tcPr>
          <w:p w14:paraId="3D96AC81" w14:textId="77777777" w:rsidR="00B00FA1" w:rsidRPr="00BA04BA" w:rsidRDefault="00B00FA1" w:rsidP="00904026">
            <w:pPr>
              <w:pStyle w:val="TableBullet"/>
              <w:ind w:left="223" w:hanging="147"/>
            </w:pPr>
            <w:r>
              <w:t>Coûts d’impression</w:t>
            </w:r>
          </w:p>
          <w:p w14:paraId="5864AB3A" w14:textId="77777777" w:rsidR="00B00FA1" w:rsidRPr="00BA04BA" w:rsidRDefault="00B00FA1" w:rsidP="00904026">
            <w:pPr>
              <w:pStyle w:val="TableBullet"/>
              <w:ind w:left="223" w:hanging="147"/>
            </w:pPr>
            <w:r>
              <w:t>Coût pour le temps passer à saisir les données dans la base de données</w:t>
            </w:r>
          </w:p>
          <w:p w14:paraId="2909AC29" w14:textId="77777777" w:rsidR="00B00FA1" w:rsidRPr="00BA04BA" w:rsidRDefault="00B00FA1" w:rsidP="00904026">
            <w:pPr>
              <w:pStyle w:val="TableBullet"/>
              <w:ind w:left="223" w:hanging="147"/>
            </w:pPr>
            <w:r>
              <w:t>Risque d’erreurs humaines</w:t>
            </w:r>
          </w:p>
          <w:p w14:paraId="5761E7A5" w14:textId="731E5D6F" w:rsidR="00B00FA1" w:rsidRPr="00BA04BA" w:rsidRDefault="00B00FA1" w:rsidP="00904026">
            <w:pPr>
              <w:pStyle w:val="TableBullet"/>
              <w:ind w:left="223" w:hanging="147"/>
            </w:pPr>
            <w:r>
              <w:t>Plus difficile de maintenir en sécurité les informations sensibles et restreindre l’accès</w:t>
            </w:r>
          </w:p>
        </w:tc>
      </w:tr>
      <w:tr w:rsidR="00B00FA1" w:rsidRPr="00DB5849" w14:paraId="0944215B" w14:textId="77777777" w:rsidTr="006757B5">
        <w:tc>
          <w:tcPr>
            <w:tcW w:w="3823" w:type="dxa"/>
            <w:shd w:val="clear" w:color="auto" w:fill="EADDEB"/>
            <w:tcMar>
              <w:top w:w="58" w:type="dxa"/>
              <w:left w:w="58" w:type="dxa"/>
              <w:bottom w:w="58" w:type="dxa"/>
              <w:right w:w="58" w:type="dxa"/>
            </w:tcMar>
          </w:tcPr>
          <w:p w14:paraId="27150268" w14:textId="77777777" w:rsidR="00B00FA1" w:rsidRPr="00BA04BA" w:rsidRDefault="00B00FA1" w:rsidP="00B00FA1">
            <w:pPr>
              <w:pStyle w:val="BodyCopy"/>
              <w:jc w:val="left"/>
              <w:rPr>
                <w:rStyle w:val="Bold"/>
              </w:rPr>
            </w:pPr>
            <w:r>
              <w:rPr>
                <w:rStyle w:val="Bold"/>
              </w:rPr>
              <w:t>Collecte de données avec portable</w:t>
            </w:r>
          </w:p>
          <w:p w14:paraId="50AE43FD" w14:textId="4A066756" w:rsidR="00B00FA1" w:rsidRPr="00BA04BA" w:rsidRDefault="0A66BC05" w:rsidP="00B00FA1">
            <w:pPr>
              <w:pStyle w:val="BodyCopy"/>
              <w:jc w:val="left"/>
            </w:pPr>
            <w:r>
              <w:t>Utiliser des téléphones portables ou tablettes pour enregistrer les informations</w:t>
            </w:r>
          </w:p>
        </w:tc>
        <w:tc>
          <w:tcPr>
            <w:tcW w:w="5528" w:type="dxa"/>
            <w:shd w:val="clear" w:color="auto" w:fill="CAA7C8"/>
            <w:tcMar>
              <w:top w:w="58" w:type="dxa"/>
              <w:left w:w="58" w:type="dxa"/>
              <w:bottom w:w="58" w:type="dxa"/>
              <w:right w:w="58" w:type="dxa"/>
            </w:tcMar>
          </w:tcPr>
          <w:p w14:paraId="7618DF85" w14:textId="77777777" w:rsidR="00B00FA1" w:rsidRPr="00BA04BA" w:rsidRDefault="00B00FA1" w:rsidP="00904026">
            <w:pPr>
              <w:pStyle w:val="TableBullet"/>
              <w:ind w:left="223" w:hanging="147"/>
            </w:pPr>
            <w:r>
              <w:t>Réduit les erreurs humaines</w:t>
            </w:r>
          </w:p>
          <w:p w14:paraId="3343DDD0" w14:textId="77777777" w:rsidR="00B00FA1" w:rsidRPr="00BA04BA" w:rsidRDefault="00B00FA1" w:rsidP="00904026">
            <w:pPr>
              <w:pStyle w:val="TableBullet"/>
              <w:ind w:left="223" w:hanging="147"/>
            </w:pPr>
            <w:r>
              <w:t>Plus facile et plus rapide pour partager les données de retour d’information</w:t>
            </w:r>
          </w:p>
          <w:p w14:paraId="4DA14F00" w14:textId="77777777" w:rsidR="00B00FA1" w:rsidRPr="00BA04BA" w:rsidRDefault="00B00FA1" w:rsidP="00904026">
            <w:pPr>
              <w:pStyle w:val="TableBullet"/>
              <w:ind w:left="223" w:hanging="147"/>
            </w:pPr>
            <w:r>
              <w:t>Plus facile de conserver en sûreté les informations sensibles</w:t>
            </w:r>
          </w:p>
          <w:p w14:paraId="48732B62" w14:textId="4060960E" w:rsidR="00B00FA1" w:rsidRPr="00BA04BA" w:rsidRDefault="00B00FA1" w:rsidP="00904026">
            <w:pPr>
              <w:pStyle w:val="TableBullet"/>
              <w:ind w:left="223" w:hanging="147"/>
            </w:pPr>
            <w:r>
              <w:t>Beaucoup de personnes sont déjà à l'aise pour travailler avec un téléphone portable</w:t>
            </w:r>
          </w:p>
        </w:tc>
        <w:tc>
          <w:tcPr>
            <w:tcW w:w="4594" w:type="dxa"/>
            <w:shd w:val="clear" w:color="auto" w:fill="EADDEB"/>
            <w:tcMar>
              <w:top w:w="58" w:type="dxa"/>
              <w:left w:w="58" w:type="dxa"/>
              <w:bottom w:w="58" w:type="dxa"/>
              <w:right w:w="58" w:type="dxa"/>
            </w:tcMar>
          </w:tcPr>
          <w:p w14:paraId="6EF36288" w14:textId="77777777" w:rsidR="00B00FA1" w:rsidRPr="00BA04BA" w:rsidRDefault="00B00FA1" w:rsidP="00904026">
            <w:pPr>
              <w:pStyle w:val="TableBullet"/>
              <w:ind w:left="223" w:hanging="147"/>
            </w:pPr>
            <w:r>
              <w:t>Besoin d'un portable et d'une connexion pour télécharger les données</w:t>
            </w:r>
          </w:p>
          <w:p w14:paraId="0A17FB50" w14:textId="77777777" w:rsidR="00B00FA1" w:rsidRPr="00BA04BA" w:rsidRDefault="00B00FA1" w:rsidP="00904026">
            <w:pPr>
              <w:pStyle w:val="TableBullet"/>
              <w:ind w:left="223" w:hanging="147"/>
            </w:pPr>
            <w:r>
              <w:t>Risques de coupures d'électricité et d’interruptions des services de données mobiles</w:t>
            </w:r>
          </w:p>
          <w:p w14:paraId="05542CB7" w14:textId="5510E1EF" w:rsidR="00B00FA1" w:rsidRPr="00BA04BA" w:rsidRDefault="00B00FA1" w:rsidP="00904026">
            <w:pPr>
              <w:pStyle w:val="TableBullet"/>
              <w:ind w:left="223" w:hanging="147"/>
            </w:pPr>
            <w:r>
              <w:t>Besoin que quelqu’un crée l’enquête en ligne et forme les collecteurs de données sur l'utilisation de l'application.</w:t>
            </w:r>
          </w:p>
        </w:tc>
      </w:tr>
      <w:tr w:rsidR="00904026" w:rsidRPr="00BA04BA" w14:paraId="0A25F3BC" w14:textId="77777777" w:rsidTr="006757B5">
        <w:tc>
          <w:tcPr>
            <w:tcW w:w="3823" w:type="dxa"/>
            <w:shd w:val="clear" w:color="auto" w:fill="EADDEB"/>
            <w:tcMar>
              <w:top w:w="58" w:type="dxa"/>
              <w:left w:w="58" w:type="dxa"/>
              <w:bottom w:w="58" w:type="dxa"/>
              <w:right w:w="58" w:type="dxa"/>
            </w:tcMar>
          </w:tcPr>
          <w:p w14:paraId="735ACAAE" w14:textId="77777777" w:rsidR="00904026" w:rsidRPr="00BA04BA" w:rsidRDefault="00904026" w:rsidP="00904026">
            <w:pPr>
              <w:pStyle w:val="BodyCopy"/>
              <w:jc w:val="left"/>
              <w:rPr>
                <w:rStyle w:val="Bold"/>
                <w:bCs w:val="0"/>
              </w:rPr>
            </w:pPr>
            <w:r>
              <w:rPr>
                <w:rStyle w:val="Bold"/>
              </w:rPr>
              <w:t xml:space="preserve">Saisir les données directement dans la base de données     </w:t>
            </w:r>
          </w:p>
          <w:p w14:paraId="3BFE0C84" w14:textId="7D1E5D0F" w:rsidR="00904026" w:rsidRPr="00BA04BA" w:rsidRDefault="00904026" w:rsidP="00904026">
            <w:pPr>
              <w:pStyle w:val="BodyCopy"/>
              <w:jc w:val="left"/>
              <w:rPr>
                <w:rStyle w:val="Bold"/>
              </w:rPr>
            </w:pPr>
            <w:r>
              <w:t>Saisir les informations directement dans un fichier Excel pendant la conversation ou lorsque le message est reçu</w:t>
            </w:r>
          </w:p>
        </w:tc>
        <w:tc>
          <w:tcPr>
            <w:tcW w:w="5528" w:type="dxa"/>
            <w:shd w:val="clear" w:color="auto" w:fill="CAA7C8"/>
            <w:tcMar>
              <w:top w:w="58" w:type="dxa"/>
              <w:left w:w="58" w:type="dxa"/>
              <w:bottom w:w="58" w:type="dxa"/>
              <w:right w:w="58" w:type="dxa"/>
            </w:tcMar>
            <w:vAlign w:val="center"/>
          </w:tcPr>
          <w:p w14:paraId="772B0537" w14:textId="77777777" w:rsidR="00904026" w:rsidRPr="00BA04BA" w:rsidRDefault="00904026" w:rsidP="00904026">
            <w:pPr>
              <w:pStyle w:val="TableBullet"/>
              <w:pBdr>
                <w:top w:val="nil"/>
                <w:left w:val="nil"/>
                <w:bottom w:val="nil"/>
                <w:right w:val="nil"/>
                <w:between w:val="nil"/>
              </w:pBdr>
              <w:ind w:left="223" w:hanging="147"/>
            </w:pPr>
            <w:r>
              <w:t>Idéal pour les personnes qui sont devant un ordinateur lorsqu’elles reçoivent le retour d'information, p.ex. opérateurs de centres d'appel, durant des émissions de radio interactives, pour les personnes documentant le retour d'information reçu sur WhatsApp</w:t>
            </w:r>
          </w:p>
          <w:p w14:paraId="1C3303A4" w14:textId="4873FDE0" w:rsidR="00904026" w:rsidRPr="00BA04BA" w:rsidRDefault="00904026" w:rsidP="00904026">
            <w:pPr>
              <w:pStyle w:val="TableBullet"/>
              <w:pBdr>
                <w:top w:val="nil"/>
                <w:left w:val="nil"/>
                <w:bottom w:val="nil"/>
                <w:right w:val="nil"/>
                <w:between w:val="nil"/>
              </w:pBdr>
              <w:ind w:left="223" w:hanging="147"/>
            </w:pPr>
            <w:r>
              <w:t>Gain de temps car aucune étape supplémentaire nécessaire pour transférer les données sur une base de données</w:t>
            </w:r>
          </w:p>
        </w:tc>
        <w:tc>
          <w:tcPr>
            <w:tcW w:w="4594" w:type="dxa"/>
            <w:shd w:val="clear" w:color="auto" w:fill="EADDEB"/>
            <w:tcMar>
              <w:top w:w="58" w:type="dxa"/>
              <w:left w:w="58" w:type="dxa"/>
              <w:bottom w:w="58" w:type="dxa"/>
              <w:right w:w="58" w:type="dxa"/>
            </w:tcMar>
            <w:vAlign w:val="center"/>
          </w:tcPr>
          <w:p w14:paraId="24DF4D9F" w14:textId="77777777" w:rsidR="00904026" w:rsidRPr="00BA04BA" w:rsidRDefault="00904026" w:rsidP="00904026">
            <w:pPr>
              <w:pStyle w:val="TableBullet"/>
              <w:pBdr>
                <w:top w:val="nil"/>
                <w:left w:val="nil"/>
                <w:bottom w:val="nil"/>
                <w:right w:val="nil"/>
                <w:between w:val="nil"/>
              </w:pBdr>
              <w:ind w:left="223" w:hanging="147"/>
            </w:pPr>
            <w:r>
              <w:t>Possible uniquement si un ordinateur portable est disponible</w:t>
            </w:r>
          </w:p>
          <w:p w14:paraId="25B19F09" w14:textId="77777777" w:rsidR="00904026" w:rsidRPr="00BA04BA" w:rsidRDefault="00904026" w:rsidP="00904026">
            <w:pPr>
              <w:pStyle w:val="TableBullet"/>
              <w:pBdr>
                <w:top w:val="nil"/>
                <w:left w:val="nil"/>
                <w:bottom w:val="nil"/>
                <w:right w:val="nil"/>
                <w:between w:val="nil"/>
              </w:pBdr>
              <w:ind w:left="223" w:hanging="147"/>
            </w:pPr>
            <w:r>
              <w:t>Le personnel doit savoir utiliser les ordinateurs et doit être formé à la saisie de données</w:t>
            </w:r>
          </w:p>
          <w:p w14:paraId="6C1F5C54" w14:textId="2A2EE0AE" w:rsidR="00904026" w:rsidRPr="00BA04BA" w:rsidRDefault="00904026" w:rsidP="00904026">
            <w:pPr>
              <w:pStyle w:val="TableBullet"/>
              <w:pBdr>
                <w:top w:val="nil"/>
                <w:left w:val="nil"/>
                <w:bottom w:val="nil"/>
                <w:right w:val="nil"/>
                <w:between w:val="nil"/>
              </w:pBdr>
              <w:ind w:left="223" w:hanging="147"/>
            </w:pPr>
            <w:r>
              <w:t>Risque de coupures d’électricité</w:t>
            </w:r>
          </w:p>
        </w:tc>
      </w:tr>
    </w:tbl>
    <w:p w14:paraId="5374CC0E" w14:textId="583D0BF2" w:rsidR="00333B12" w:rsidRPr="00BA04BA" w:rsidRDefault="00333B12" w:rsidP="006757B5">
      <w:pPr>
        <w:pStyle w:val="BodyCopy"/>
        <w:rPr>
          <w:lang w:val="en-GB"/>
        </w:rPr>
      </w:pPr>
    </w:p>
    <w:sectPr w:rsidR="00333B12" w:rsidRPr="00BA04BA" w:rsidSect="00E9368A">
      <w:headerReference w:type="default" r:id="rId12"/>
      <w:footerReference w:type="even" r:id="rId13"/>
      <w:footerReference w:type="default" r:id="rId14"/>
      <w:headerReference w:type="first" r:id="rId15"/>
      <w:footerReference w:type="first" r:id="rId16"/>
      <w:pgSz w:w="16838" w:h="11906" w:orient="landscape"/>
      <w:pgMar w:top="1528" w:right="1417" w:bottom="1224" w:left="1417" w:header="576" w:footer="24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166EF" w14:textId="77777777" w:rsidR="00E9368A" w:rsidRDefault="00E9368A" w:rsidP="00061220">
      <w:r>
        <w:separator/>
      </w:r>
    </w:p>
  </w:endnote>
  <w:endnote w:type="continuationSeparator" w:id="0">
    <w:p w14:paraId="2275E435" w14:textId="77777777" w:rsidR="00E9368A" w:rsidRDefault="00E9368A" w:rsidP="00061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Noto Sans Symbols">
    <w:altName w:val="Calibri"/>
    <w:panose1 w:val="020B0604020202020204"/>
    <w:charset w:val="00"/>
    <w:family w:val="auto"/>
    <w:pitch w:val="default"/>
  </w:font>
  <w:font w:name="ZapfDingbats BT">
    <w:panose1 w:val="020B0604020202020204"/>
    <w:charset w:val="02"/>
    <w:family w:val="auto"/>
    <w:pitch w:val="variable"/>
    <w:sig w:usb0="00000000" w:usb1="10000000" w:usb2="00000000" w:usb3="00000000" w:csb0="80000000"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Medium">
    <w:altName w:val="HELVETICA NEUE MEDIUM"/>
    <w:panose1 w:val="020B0604020202020204"/>
    <w:charset w:val="4D"/>
    <w:family w:val="swiss"/>
    <w:pitch w:val="variable"/>
    <w:sig w:usb0="A00002FF" w:usb1="5000205B" w:usb2="00000002" w:usb3="00000000" w:csb0="0000009B"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Helvetica Neue Thin">
    <w:altName w:val="Arial"/>
    <w:panose1 w:val="020B0403020202020204"/>
    <w:charset w:val="00"/>
    <w:family w:val="swiss"/>
    <w:pitch w:val="variable"/>
    <w:sig w:usb0="E00002EF" w:usb1="5000205B" w:usb2="00000002"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D4639" w14:textId="26995637" w:rsidR="00F31BA9" w:rsidRDefault="00D20D78" w:rsidP="00B81FE2">
    <w:pPr>
      <w:pStyle w:val="Footer"/>
      <w:framePr w:wrap="none" w:vAnchor="text" w:hAnchor="margin" w:xAlign="right" w:y="1"/>
      <w:rPr>
        <w:rStyle w:val="PageNumber"/>
      </w:rPr>
    </w:pPr>
    <w:r>
      <w:rPr>
        <w:rFonts w:ascii="Helvetica Neue Medium" w:hAnsi="Helvetica Neue Medium"/>
        <w:noProof/>
      </w:rPr>
      <mc:AlternateContent>
        <mc:Choice Requires="wps">
          <w:drawing>
            <wp:anchor distT="0" distB="0" distL="0" distR="0" simplePos="0" relativeHeight="251664384" behindDoc="0" locked="0" layoutInCell="1" allowOverlap="1" wp14:anchorId="638D3B4B" wp14:editId="6EAB2BEB">
              <wp:simplePos x="635" y="635"/>
              <wp:positionH relativeFrom="page">
                <wp:align>left</wp:align>
              </wp:positionH>
              <wp:positionV relativeFrom="page">
                <wp:align>bottom</wp:align>
              </wp:positionV>
              <wp:extent cx="443865" cy="443865"/>
              <wp:effectExtent l="0" t="0" r="6350" b="0"/>
              <wp:wrapNone/>
              <wp:docPr id="1854924203"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788B75" w14:textId="378B10EC" w:rsidR="00D20D78" w:rsidRPr="00D20D78" w:rsidRDefault="00D20D78" w:rsidP="00D20D78">
                          <w:pPr>
                            <w:rPr>
                              <w:rFonts w:ascii="Calibri" w:eastAsia="Calibri" w:hAnsi="Calibri" w:cs="Calibri"/>
                              <w:noProof/>
                              <w:color w:val="000000"/>
                              <w:sz w:val="20"/>
                              <w:szCs w:val="20"/>
                            </w:rPr>
                          </w:pPr>
                          <w:r w:rsidRPr="00D20D78">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v:shapetype id="_x0000_t202" coordsize="21600,21600" o:spt="202" path="m,l,21600r21600,l21600,xe" w14:anchorId="638D3B4B">
              <v:stroke joinstyle="miter"/>
              <v:path gradientshapeok="t" o:connecttype="rect"/>
            </v:shapetype>
            <v:shape id="Text Box 2" style="position:absolute;margin-left:0;margin-top:0;width:34.95pt;height:34.95pt;z-index:251664384;visibility:visible;mso-wrap-style:none;mso-wrap-distance-left:0;mso-wrap-distance-top:0;mso-wrap-distance-right:0;mso-wrap-distance-bottom:0;mso-position-horizontal:left;mso-position-horizontal-relative:page;mso-position-vertical:bottom;mso-position-vertical-relative:page;v-text-anchor:bottom" alt="Public" o:spid="_x0000_s1091" filled="f" stroked="f"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">
              <v:fill o:detectmouseclick="t"/>
              <v:textbox style="mso-fit-shape-to-text:t" inset="20pt,0,0,15pt">
                <w:txbxContent>
                  <w:p w:rsidRPr="00D20D78" w:rsidR="00D20D78" w:rsidP="00D20D78" w:rsidRDefault="00D20D78" w14:paraId="7C788B75" w14:textId="378B10EC">
                    <w:pPr>
                      <w:rPr>
                        <w:rFonts w:ascii="Calibri" w:hAnsi="Calibri" w:eastAsia="Calibri" w:cs="Calibri"/>
                        <w:noProof/>
                        <w:color w:val="000000"/>
                        <w:sz w:val="20"/>
                        <w:szCs w:val="20"/>
                      </w:rPr>
                    </w:pPr>
                    <w:r w:rsidRPr="00D20D78">
                      <w:rPr>
                        <w:rFonts w:ascii="Calibri" w:hAnsi="Calibri" w:eastAsia="Calibri" w:cs="Calibri"/>
                        <w:noProof/>
                        <w:color w:val="000000"/>
                        <w:sz w:val="20"/>
                        <w:szCs w:val="20"/>
                      </w:rPr>
                      <w:t>Public</w:t>
                    </w:r>
                  </w:p>
                </w:txbxContent>
              </v:textbox>
              <w10:wrap anchorx="page" anchory="page"/>
            </v:shape>
          </w:pict>
        </mc:Fallback>
      </mc:AlternateContent>
    </w:r>
  </w:p>
  <w:p w14:paraId="0817491B" w14:textId="77777777" w:rsidR="00F31BA9" w:rsidRDefault="00F31BA9" w:rsidP="00B81FE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3E53E57" w14:textId="77777777" w:rsidR="00F31BA9" w:rsidRDefault="00F31BA9" w:rsidP="00F31B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D0E7C" w14:textId="788ABE76" w:rsidR="00F31BA9" w:rsidRPr="00F31BA9" w:rsidRDefault="00D20D78" w:rsidP="0030145C">
    <w:pPr>
      <w:pStyle w:val="Footer"/>
      <w:framePr w:w="533" w:h="301" w:hRule="exact" w:wrap="none" w:vAnchor="text" w:hAnchor="page" w:x="16133" w:y="84"/>
      <w:jc w:val="center"/>
      <w:rPr>
        <w:rStyle w:val="PageNumber"/>
        <w:color w:val="FFFFFF" w:themeColor="background1"/>
      </w:rPr>
    </w:pPr>
    <w:r>
      <w:rPr>
        <w:rFonts w:ascii="Helvetica Neue Medium" w:hAnsi="Helvetica Neue Medium"/>
        <w:noProof/>
        <w:color w:val="FFFFFF" w:themeColor="background1"/>
      </w:rPr>
      <mc:AlternateContent>
        <mc:Choice Requires="wps">
          <w:drawing>
            <wp:anchor distT="0" distB="0" distL="0" distR="0" simplePos="0" relativeHeight="251665408" behindDoc="0" locked="0" layoutInCell="1" allowOverlap="1" wp14:anchorId="7DB9AE66" wp14:editId="0CE19979">
              <wp:simplePos x="0" y="0"/>
              <wp:positionH relativeFrom="page">
                <wp:align>left</wp:align>
              </wp:positionH>
              <wp:positionV relativeFrom="page">
                <wp:align>bottom</wp:align>
              </wp:positionV>
              <wp:extent cx="443865" cy="443865"/>
              <wp:effectExtent l="0" t="0" r="6350" b="0"/>
              <wp:wrapNone/>
              <wp:docPr id="2075990481"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094D2C7" w14:textId="7866EA71" w:rsidR="00D20D78" w:rsidRPr="00D20D78" w:rsidRDefault="00D20D78" w:rsidP="00D20D78">
                          <w:pPr>
                            <w:rPr>
                              <w:rFonts w:ascii="Calibri" w:eastAsia="Calibri" w:hAnsi="Calibri" w:cs="Calibri"/>
                              <w:noProof/>
                              <w:color w:val="000000"/>
                              <w:sz w:val="20"/>
                              <w:szCs w:val="20"/>
                            </w:rPr>
                          </w:pPr>
                          <w:r w:rsidRPr="00D20D78">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v:shapetype id="_x0000_t202" coordsize="21600,21600" o:spt="202" path="m,l,21600r21600,l21600,xe" w14:anchorId="7DB9AE66">
              <v:stroke joinstyle="miter"/>
              <v:path gradientshapeok="t" o:connecttype="rect"/>
            </v:shapetype>
            <v:shape id="Text Box 3" style="position:absolute;left:0;text-align:left;margin-left:0;margin-top:0;width:34.95pt;height:34.95pt;z-index:251665408;visibility:visible;mso-wrap-style:none;mso-wrap-distance-left:0;mso-wrap-distance-top:0;mso-wrap-distance-right:0;mso-wrap-distance-bottom:0;mso-position-horizontal:left;mso-position-horizontal-relative:page;mso-position-vertical:bottom;mso-position-vertical-relative:page;v-text-anchor:bottom" alt="Public" o:spid="_x0000_s1092" filled="f" stroked="f"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">
              <v:fill o:detectmouseclick="t"/>
              <v:textbox style="mso-fit-shape-to-text:t" inset="20pt,0,0,15pt">
                <w:txbxContent>
                  <w:p w:rsidRPr="00D20D78" w:rsidR="00D20D78" w:rsidP="00D20D78" w:rsidRDefault="00D20D78" w14:paraId="5094D2C7" w14:textId="7866EA71">
                    <w:pPr>
                      <w:rPr>
                        <w:rFonts w:ascii="Calibri" w:hAnsi="Calibri" w:eastAsia="Calibri" w:cs="Calibri"/>
                        <w:noProof/>
                        <w:color w:val="000000"/>
                        <w:sz w:val="20"/>
                        <w:szCs w:val="20"/>
                      </w:rPr>
                    </w:pPr>
                    <w:r w:rsidRPr="00D20D78">
                      <w:rPr>
                        <w:rFonts w:ascii="Calibri" w:hAnsi="Calibri" w:eastAsia="Calibri" w:cs="Calibri"/>
                        <w:noProof/>
                        <w:color w:val="000000"/>
                        <w:sz w:val="20"/>
                        <w:szCs w:val="20"/>
                      </w:rPr>
                      <w:t>Public</w:t>
                    </w:r>
                  </w:p>
                </w:txbxContent>
              </v:textbox>
              <w10:wrap anchorx="page" anchory="page"/>
            </v:shape>
          </w:pict>
        </mc:Fallback>
      </mc:AlternateContent>
    </w:r>
    <w:sdt>
      <w:sdtPr>
        <w:rPr>
          <w:rStyle w:val="PageNumber"/>
          <w:color w:val="FFFFFF" w:themeColor="background1"/>
        </w:rPr>
        <w:id w:val="-1090157178"/>
        <w:docPartObj>
          <w:docPartGallery w:val="Page Numbers (Bottom of Page)"/>
          <w:docPartUnique/>
        </w:docPartObj>
      </w:sdtPr>
      <w:sdtContent>
        <w:r w:rsidR="00F31BA9" w:rsidRPr="00F31BA9">
          <w:rPr>
            <w:rStyle w:val="PageNumber"/>
            <w:color w:val="FFFFFF" w:themeColor="background1"/>
          </w:rPr>
          <w:fldChar w:fldCharType="begin"/>
        </w:r>
        <w:r w:rsidR="00F31BA9" w:rsidRPr="00F31BA9">
          <w:rPr>
            <w:rStyle w:val="PageNumber"/>
            <w:color w:val="FFFFFF" w:themeColor="background1"/>
          </w:rPr>
          <w:instrText xml:space="preserve"> PAGE </w:instrText>
        </w:r>
        <w:r w:rsidR="00F31BA9" w:rsidRPr="00F31BA9">
          <w:rPr>
            <w:rStyle w:val="PageNumber"/>
            <w:color w:val="FFFFFF" w:themeColor="background1"/>
          </w:rPr>
          <w:fldChar w:fldCharType="separate"/>
        </w:r>
        <w:r w:rsidR="00F31BA9" w:rsidRPr="00F31BA9">
          <w:rPr>
            <w:rStyle w:val="PageNumber"/>
            <w:color w:val="FFFFFF" w:themeColor="background1"/>
          </w:rPr>
          <w:t>2</w:t>
        </w:r>
        <w:r w:rsidR="00F31BA9" w:rsidRPr="00F31BA9">
          <w:rPr>
            <w:rStyle w:val="PageNumber"/>
            <w:color w:val="FFFFFF" w:themeColor="background1"/>
          </w:rPr>
          <w:fldChar w:fldCharType="end"/>
        </w:r>
      </w:sdtContent>
    </w:sdt>
  </w:p>
  <w:p w14:paraId="2E64E4C6" w14:textId="07D5170A" w:rsidR="00F31BA9" w:rsidRPr="00266931" w:rsidRDefault="00266931" w:rsidP="0030145C">
    <w:pPr>
      <w:pStyle w:val="Footer"/>
      <w:tabs>
        <w:tab w:val="clear" w:pos="4536"/>
        <w:tab w:val="clear" w:pos="9072"/>
      </w:tabs>
      <w:ind w:right="709" w:hanging="993"/>
      <w:rPr>
        <w:rFonts w:ascii="Helvetica Neue Thin" w:hAnsi="Helvetica Neue Thin"/>
        <w:color w:val="943482"/>
        <w:spacing w:val="20"/>
        <w:sz w:val="28"/>
        <w:szCs w:val="28"/>
      </w:rPr>
    </w:pPr>
    <w:r>
      <w:rPr>
        <w:rFonts w:ascii="Helvetica Neue Thin" w:hAnsi="Helvetica Neue Thin"/>
        <w:noProof/>
        <w:color w:val="943482"/>
        <w:sz w:val="28"/>
      </w:rPr>
      <mc:AlternateContent>
        <mc:Choice Requires="wps">
          <w:drawing>
            <wp:anchor distT="0" distB="0" distL="114300" distR="114300" simplePos="0" relativeHeight="251662336" behindDoc="1" locked="0" layoutInCell="1" allowOverlap="1" wp14:anchorId="0ED7D87C" wp14:editId="06EA84CC">
              <wp:simplePos x="0" y="0"/>
              <wp:positionH relativeFrom="column">
                <wp:posOffset>9372600</wp:posOffset>
              </wp:positionH>
              <wp:positionV relativeFrom="page">
                <wp:posOffset>7201535</wp:posOffset>
              </wp:positionV>
              <wp:extent cx="276625" cy="276625"/>
              <wp:effectExtent l="0" t="0" r="3175" b="3175"/>
              <wp:wrapNone/>
              <wp:docPr id="8" name="Ellipse 8"/>
              <wp:cNvGraphicFramePr/>
              <a:graphic xmlns:a="http://schemas.openxmlformats.org/drawingml/2006/main">
                <a:graphicData uri="http://schemas.microsoft.com/office/word/2010/wordprocessingShape">
                  <wps:wsp>
                    <wps:cNvSpPr/>
                    <wps:spPr>
                      <a:xfrm>
                        <a:off x="0" y="0"/>
                        <a:ext cx="276625" cy="276625"/>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clsh="http://schemas.microsoft.com/office/drawing/2020/classificationShape" xmlns:a="http://schemas.openxmlformats.org/drawingml/2006/main">
          <w:pict>
            <v:oval id="Ellipse 8" style="position:absolute;margin-left:738pt;margin-top:567.05pt;width:21.8pt;height:21.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spid="_x0000_s1026" fillcolor="#943482" stroked="f" strokeweight="1pt" w14:anchorId="6B36C46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">
              <v:stroke joinstyle="miter"/>
              <w10:wrap anchory="page"/>
            </v:oval>
          </w:pict>
        </mc:Fallback>
      </mc:AlternateContent>
    </w:r>
    <w:r>
      <w:t>KIT DE RETOUR D’INFORMATION DE LA FICR</w:t>
    </w:r>
    <w:r>
      <w:rPr>
        <w:rFonts w:ascii="Helvetica Neue Thin" w:hAnsi="Helvetica Neue Thin"/>
        <w:color w:val="943482"/>
        <w:sz w:val="2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E0C08" w14:textId="07FABEAE" w:rsidR="00C30C1C" w:rsidRPr="00F31BA9" w:rsidRDefault="00D20D78" w:rsidP="005A333E">
    <w:pPr>
      <w:pStyle w:val="Footer"/>
      <w:framePr w:w="345" w:h="350" w:hRule="exact" w:wrap="none" w:vAnchor="text" w:hAnchor="page" w:x="16295" w:y="118"/>
      <w:jc w:val="center"/>
      <w:rPr>
        <w:rStyle w:val="PageNumber"/>
        <w:color w:val="FFFFFF" w:themeColor="background1"/>
      </w:rPr>
    </w:pPr>
    <w:r>
      <w:rPr>
        <w:rFonts w:ascii="Helvetica Neue Medium" w:hAnsi="Helvetica Neue Medium"/>
        <w:noProof/>
        <w:color w:val="FFFFFF" w:themeColor="background1"/>
      </w:rPr>
      <mc:AlternateContent>
        <mc:Choice Requires="wps">
          <w:drawing>
            <wp:anchor distT="0" distB="0" distL="0" distR="0" simplePos="0" relativeHeight="251663360" behindDoc="0" locked="0" layoutInCell="1" allowOverlap="1" wp14:anchorId="3971D9A6" wp14:editId="07510BCB">
              <wp:simplePos x="0" y="0"/>
              <wp:positionH relativeFrom="page">
                <wp:align>left</wp:align>
              </wp:positionH>
              <wp:positionV relativeFrom="page">
                <wp:align>bottom</wp:align>
              </wp:positionV>
              <wp:extent cx="443865" cy="443865"/>
              <wp:effectExtent l="0" t="0" r="6350" b="0"/>
              <wp:wrapNone/>
              <wp:docPr id="403625183"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31C226" w14:textId="0CF1EE1F" w:rsidR="00D20D78" w:rsidRPr="00D20D78" w:rsidRDefault="00D20D78" w:rsidP="00D20D78">
                          <w:pPr>
                            <w:rPr>
                              <w:rFonts w:ascii="Calibri" w:eastAsia="Calibri" w:hAnsi="Calibri" w:cs="Calibri"/>
                              <w:noProof/>
                              <w:color w:val="000000"/>
                              <w:sz w:val="20"/>
                              <w:szCs w:val="20"/>
                            </w:rPr>
                          </w:pPr>
                          <w:r w:rsidRPr="00D20D78">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v:shapetype id="_x0000_t202" coordsize="21600,21600" o:spt="202" path="m,l,21600r21600,l21600,xe" w14:anchorId="3971D9A6">
              <v:stroke joinstyle="miter"/>
              <v:path gradientshapeok="t" o:connecttype="rect"/>
            </v:shapetype>
            <v:shape id="Text Box 1" style="position:absolute;left:0;text-align:left;margin-left:0;margin-top:0;width:34.95pt;height:34.95pt;z-index:251663360;visibility:visible;mso-wrap-style:none;mso-wrap-distance-left:0;mso-wrap-distance-top:0;mso-wrap-distance-right:0;mso-wrap-distance-bottom:0;mso-position-horizontal:left;mso-position-horizontal-relative:page;mso-position-vertical:bottom;mso-position-vertical-relative:page;v-text-anchor:bottom" alt="Public" o:spid="_x0000_s1093" filled="f" stroked="f"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">
              <v:fill o:detectmouseclick="t"/>
              <v:textbox style="mso-fit-shape-to-text:t" inset="20pt,0,0,15pt">
                <w:txbxContent>
                  <w:p w:rsidRPr="00D20D78" w:rsidR="00D20D78" w:rsidP="00D20D78" w:rsidRDefault="00D20D78" w14:paraId="2131C226" w14:textId="0CF1EE1F">
                    <w:pPr>
                      <w:rPr>
                        <w:rFonts w:ascii="Calibri" w:hAnsi="Calibri" w:eastAsia="Calibri" w:cs="Calibri"/>
                        <w:noProof/>
                        <w:color w:val="000000"/>
                        <w:sz w:val="20"/>
                        <w:szCs w:val="20"/>
                      </w:rPr>
                    </w:pPr>
                    <w:r w:rsidRPr="00D20D78">
                      <w:rPr>
                        <w:rFonts w:ascii="Calibri" w:hAnsi="Calibri" w:eastAsia="Calibri" w:cs="Calibri"/>
                        <w:noProof/>
                        <w:color w:val="000000"/>
                        <w:sz w:val="20"/>
                        <w:szCs w:val="20"/>
                      </w:rPr>
                      <w:t>Public</w:t>
                    </w:r>
                  </w:p>
                </w:txbxContent>
              </v:textbox>
              <w10:wrap anchorx="page" anchory="page"/>
            </v:shape>
          </w:pict>
        </mc:Fallback>
      </mc:AlternateContent>
    </w:r>
    <w:sdt>
      <w:sdtPr>
        <w:rPr>
          <w:rStyle w:val="PageNumber"/>
          <w:color w:val="FFFFFF" w:themeColor="background1"/>
        </w:rPr>
        <w:id w:val="-582067355"/>
        <w:docPartObj>
          <w:docPartGallery w:val="Page Numbers (Bottom of Page)"/>
          <w:docPartUnique/>
        </w:docPartObj>
      </w:sdtPr>
      <w:sdtEndPr>
        <w:rPr>
          <w:rStyle w:val="DefaultParagraphFont"/>
          <w:rFonts w:asciiTheme="minorHAnsi" w:hAnsiTheme="minorHAnsi"/>
        </w:rPr>
      </w:sdtEndPr>
      <w:sdtContent>
        <w:r w:rsidR="00C30C1C" w:rsidRPr="00F31BA9">
          <w:rPr>
            <w:rStyle w:val="PageNumber"/>
            <w:color w:val="FFFFFF" w:themeColor="background1"/>
          </w:rPr>
          <w:fldChar w:fldCharType="begin"/>
        </w:r>
        <w:r w:rsidR="00C30C1C" w:rsidRPr="00F31BA9">
          <w:rPr>
            <w:rStyle w:val="PageNumber"/>
            <w:color w:val="FFFFFF" w:themeColor="background1"/>
          </w:rPr>
          <w:instrText xml:space="preserve"> PAGE </w:instrText>
        </w:r>
        <w:r w:rsidR="00C30C1C" w:rsidRPr="00F31BA9">
          <w:rPr>
            <w:rStyle w:val="PageNumber"/>
            <w:color w:val="FFFFFF" w:themeColor="background1"/>
          </w:rPr>
          <w:fldChar w:fldCharType="separate"/>
        </w:r>
        <w:r w:rsidR="00C30C1C" w:rsidRPr="00F31BA9">
          <w:rPr>
            <w:rStyle w:val="PageNumber"/>
            <w:color w:val="FFFFFF" w:themeColor="background1"/>
          </w:rPr>
          <w:t>1</w:t>
        </w:r>
        <w:r w:rsidR="00C30C1C" w:rsidRPr="00F31BA9">
          <w:rPr>
            <w:rStyle w:val="PageNumber"/>
            <w:color w:val="FFFFFF" w:themeColor="background1"/>
          </w:rPr>
          <w:fldChar w:fldCharType="end"/>
        </w:r>
      </w:sdtContent>
    </w:sdt>
  </w:p>
  <w:p w14:paraId="150F4568" w14:textId="14D15A0F" w:rsidR="00B34D8B" w:rsidRPr="00266931" w:rsidRDefault="00C30C1C" w:rsidP="005A333E">
    <w:pPr>
      <w:pStyle w:val="Footer"/>
      <w:tabs>
        <w:tab w:val="clear" w:pos="4536"/>
        <w:tab w:val="clear" w:pos="9072"/>
      </w:tabs>
      <w:ind w:right="709" w:hanging="993"/>
      <w:rPr>
        <w:rFonts w:ascii="Helvetica Neue Thin" w:hAnsi="Helvetica Neue Thin"/>
        <w:color w:val="943482"/>
        <w:spacing w:val="20"/>
        <w:sz w:val="28"/>
        <w:szCs w:val="28"/>
      </w:rPr>
    </w:pPr>
    <w:r>
      <w:rPr>
        <w:rFonts w:ascii="Helvetica Neue Thin" w:hAnsi="Helvetica Neue Thin"/>
        <w:noProof/>
        <w:color w:val="943482"/>
        <w:sz w:val="28"/>
      </w:rPr>
      <mc:AlternateContent>
        <mc:Choice Requires="wps">
          <w:drawing>
            <wp:anchor distT="0" distB="0" distL="114300" distR="114300" simplePos="0" relativeHeight="251657215" behindDoc="1" locked="0" layoutInCell="1" allowOverlap="1" wp14:anchorId="3E78A5C0" wp14:editId="3CDBF872">
              <wp:simplePos x="0" y="0"/>
              <wp:positionH relativeFrom="column">
                <wp:posOffset>9439910</wp:posOffset>
              </wp:positionH>
              <wp:positionV relativeFrom="page">
                <wp:posOffset>7249903</wp:posOffset>
              </wp:positionV>
              <wp:extent cx="230043" cy="230043"/>
              <wp:effectExtent l="0" t="0" r="0" b="0"/>
              <wp:wrapNone/>
              <wp:docPr id="5" name="Ellipse 5"/>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clsh="http://schemas.microsoft.com/office/drawing/2020/classificationShape" xmlns:a="http://schemas.openxmlformats.org/drawingml/2006/main">
          <w:pict>
            <v:oval id="Ellipse 5" style="position:absolute;margin-left:743.3pt;margin-top:570.85pt;width:18.1pt;height:18.1pt;z-index:-251659265;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spid="_x0000_s1026" fillcolor="#943482" stroked="f" strokeweight="1pt" w14:anchorId="21357E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">
              <v:stroke joinstyle="miter"/>
              <w10:wrap anchory="page"/>
            </v:oval>
          </w:pict>
        </mc:Fallback>
      </mc:AlternateContent>
    </w:r>
    <w:r>
      <w:t>KIT DE RETOUR D’INFORMATION DE LA FICR</w:t>
    </w:r>
    <w:r>
      <w:rPr>
        <w:rFonts w:ascii="Helvetica Neue Thin" w:hAnsi="Helvetica Neue Thin"/>
        <w:color w:val="943482"/>
        <w:sz w:val="2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6BBCB5" w14:textId="77777777" w:rsidR="00E9368A" w:rsidRPr="00C64CF2" w:rsidRDefault="00E9368A" w:rsidP="00061220">
      <w:pPr>
        <w:rPr>
          <w:color w:val="873174"/>
        </w:rPr>
      </w:pPr>
      <w:r w:rsidRPr="00C64CF2">
        <w:rPr>
          <w:color w:val="873174"/>
        </w:rPr>
        <w:separator/>
      </w:r>
    </w:p>
  </w:footnote>
  <w:footnote w:type="continuationSeparator" w:id="0">
    <w:p w14:paraId="05C03AE9" w14:textId="77777777" w:rsidR="00E9368A" w:rsidRDefault="00E9368A" w:rsidP="000612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431C3" w14:textId="06E3563B" w:rsidR="00061220" w:rsidRDefault="00061220" w:rsidP="000E3346">
    <w:pPr>
      <w:pStyle w:val="Header"/>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2C3D4" w14:textId="3E059CB3" w:rsidR="000E3346" w:rsidRPr="00904026" w:rsidRDefault="00DB5849" w:rsidP="00FF5A47">
    <w:pPr>
      <w:pStyle w:val="TOOLTITLE"/>
    </w:pPr>
    <w:r>
      <w:rPr>
        <w:b w:val="0"/>
      </w:rPr>
      <w:t xml:space="preserve">Outil de retour d’information 4 :     </w:t>
    </w:r>
    <w:r>
      <w:t xml:space="preserve"> </w:t>
    </w:r>
    <w:r>
      <w:drawing>
        <wp:anchor distT="0" distB="0" distL="114300" distR="114300" simplePos="0" relativeHeight="251658240" behindDoc="1" locked="0" layoutInCell="1" allowOverlap="1" wp14:anchorId="7D57DE92" wp14:editId="047DE7B9">
          <wp:simplePos x="0" y="0"/>
          <wp:positionH relativeFrom="column">
            <wp:posOffset>-935990</wp:posOffset>
          </wp:positionH>
          <wp:positionV relativeFrom="page">
            <wp:posOffset>0</wp:posOffset>
          </wp:positionV>
          <wp:extent cx="10731600" cy="892800"/>
          <wp:effectExtent l="0" t="0" r="0" b="0"/>
          <wp:wrapNone/>
          <wp:docPr id="20"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a:off x="0" y="0"/>
                    <a:ext cx="10731600" cy="892800"/>
                  </a:xfrm>
                  <a:prstGeom prst="rect">
                    <a:avLst/>
                  </a:prstGeom>
                </pic:spPr>
              </pic:pic>
            </a:graphicData>
          </a:graphic>
          <wp14:sizeRelH relativeFrom="margin">
            <wp14:pctWidth>0</wp14:pctWidth>
          </wp14:sizeRelH>
          <wp14:sizeRelV relativeFrom="margin">
            <wp14:pctHeight>0</wp14:pctHeight>
          </wp14:sizeRelV>
        </wp:anchor>
      </w:drawing>
    </w:r>
    <w:r>
      <w:t>DÉCIDER DE LA MANIÈRE DE DOCUMENTER LES DONNÉES DE RETOUR D’INFORMATION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9C23C7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402C0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92E8A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B0A7B6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5BAA78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CF4608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DA48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A3855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0FC017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0879B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D21ECC"/>
    <w:multiLevelType w:val="hybridMultilevel"/>
    <w:tmpl w:val="E2CAF1E4"/>
    <w:lvl w:ilvl="0" w:tplc="45C02E94">
      <w:start w:val="1"/>
      <w:numFmt w:val="bullet"/>
      <w:pStyle w:val="TableBullet"/>
      <w:lvlText w:val=""/>
      <w:lvlJc w:val="left"/>
      <w:pPr>
        <w:ind w:left="796" w:hanging="360"/>
      </w:pPr>
      <w:rPr>
        <w:rFonts w:ascii="Symbol" w:hAnsi="Symbol" w:cs="Symbol" w:hint="default"/>
        <w:color w:val="873174"/>
      </w:rPr>
    </w:lvl>
    <w:lvl w:ilvl="1" w:tplc="040C0003" w:tentative="1">
      <w:start w:val="1"/>
      <w:numFmt w:val="bullet"/>
      <w:lvlText w:val="o"/>
      <w:lvlJc w:val="left"/>
      <w:pPr>
        <w:ind w:left="1516" w:hanging="360"/>
      </w:pPr>
      <w:rPr>
        <w:rFonts w:ascii="Courier New" w:hAnsi="Courier New" w:cs="Courier New" w:hint="default"/>
      </w:rPr>
    </w:lvl>
    <w:lvl w:ilvl="2" w:tplc="040C0005" w:tentative="1">
      <w:start w:val="1"/>
      <w:numFmt w:val="bullet"/>
      <w:lvlText w:val=""/>
      <w:lvlJc w:val="left"/>
      <w:pPr>
        <w:ind w:left="2236" w:hanging="360"/>
      </w:pPr>
      <w:rPr>
        <w:rFonts w:ascii="Wingdings" w:hAnsi="Wingdings" w:hint="default"/>
      </w:rPr>
    </w:lvl>
    <w:lvl w:ilvl="3" w:tplc="040C0001" w:tentative="1">
      <w:start w:val="1"/>
      <w:numFmt w:val="bullet"/>
      <w:lvlText w:val=""/>
      <w:lvlJc w:val="left"/>
      <w:pPr>
        <w:ind w:left="2956" w:hanging="360"/>
      </w:pPr>
      <w:rPr>
        <w:rFonts w:ascii="Symbol" w:hAnsi="Symbol" w:hint="default"/>
      </w:rPr>
    </w:lvl>
    <w:lvl w:ilvl="4" w:tplc="040C0003" w:tentative="1">
      <w:start w:val="1"/>
      <w:numFmt w:val="bullet"/>
      <w:lvlText w:val="o"/>
      <w:lvlJc w:val="left"/>
      <w:pPr>
        <w:ind w:left="3676" w:hanging="360"/>
      </w:pPr>
      <w:rPr>
        <w:rFonts w:ascii="Courier New" w:hAnsi="Courier New" w:cs="Courier New" w:hint="default"/>
      </w:rPr>
    </w:lvl>
    <w:lvl w:ilvl="5" w:tplc="040C0005" w:tentative="1">
      <w:start w:val="1"/>
      <w:numFmt w:val="bullet"/>
      <w:lvlText w:val=""/>
      <w:lvlJc w:val="left"/>
      <w:pPr>
        <w:ind w:left="4396" w:hanging="360"/>
      </w:pPr>
      <w:rPr>
        <w:rFonts w:ascii="Wingdings" w:hAnsi="Wingdings" w:hint="default"/>
      </w:rPr>
    </w:lvl>
    <w:lvl w:ilvl="6" w:tplc="040C0001" w:tentative="1">
      <w:start w:val="1"/>
      <w:numFmt w:val="bullet"/>
      <w:lvlText w:val=""/>
      <w:lvlJc w:val="left"/>
      <w:pPr>
        <w:ind w:left="5116" w:hanging="360"/>
      </w:pPr>
      <w:rPr>
        <w:rFonts w:ascii="Symbol" w:hAnsi="Symbol" w:hint="default"/>
      </w:rPr>
    </w:lvl>
    <w:lvl w:ilvl="7" w:tplc="040C0003" w:tentative="1">
      <w:start w:val="1"/>
      <w:numFmt w:val="bullet"/>
      <w:lvlText w:val="o"/>
      <w:lvlJc w:val="left"/>
      <w:pPr>
        <w:ind w:left="5836" w:hanging="360"/>
      </w:pPr>
      <w:rPr>
        <w:rFonts w:ascii="Courier New" w:hAnsi="Courier New" w:cs="Courier New" w:hint="default"/>
      </w:rPr>
    </w:lvl>
    <w:lvl w:ilvl="8" w:tplc="040C0005" w:tentative="1">
      <w:start w:val="1"/>
      <w:numFmt w:val="bullet"/>
      <w:lvlText w:val=""/>
      <w:lvlJc w:val="left"/>
      <w:pPr>
        <w:ind w:left="6556" w:hanging="360"/>
      </w:pPr>
      <w:rPr>
        <w:rFonts w:ascii="Wingdings" w:hAnsi="Wingdings" w:hint="default"/>
      </w:rPr>
    </w:lvl>
  </w:abstractNum>
  <w:abstractNum w:abstractNumId="11" w15:restartNumberingAfterBreak="0">
    <w:nsid w:val="23AD662F"/>
    <w:multiLevelType w:val="multilevel"/>
    <w:tmpl w:val="BAB411E6"/>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2BE52A28"/>
    <w:multiLevelType w:val="hybridMultilevel"/>
    <w:tmpl w:val="358C9E28"/>
    <w:lvl w:ilvl="0" w:tplc="2CF081E8">
      <w:start w:val="1"/>
      <w:numFmt w:val="bullet"/>
      <w:lvlText w:val="o"/>
      <w:lvlJc w:val="left"/>
      <w:pPr>
        <w:ind w:left="2880" w:hanging="360"/>
      </w:pPr>
      <w:rPr>
        <w:rFonts w:ascii="ZapfDingbats BT" w:hAnsi="ZapfDingbats BT" w:cs="ZapfDingbats BT"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D4212A8">
      <w:start w:val="1"/>
      <w:numFmt w:val="bullet"/>
      <w:lvlText w:val="o"/>
      <w:lvlJc w:val="left"/>
      <w:pPr>
        <w:ind w:left="2160" w:hanging="360"/>
      </w:pPr>
      <w:rPr>
        <w:rFonts w:ascii="ZapfDingbats BT" w:hAnsi="ZapfDingbats BT" w:cs="ZapfDingbats BT" w:hint="default"/>
        <w:color w:val="000000" w:themeColor="text1"/>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33F3C91"/>
    <w:multiLevelType w:val="hybridMultilevel"/>
    <w:tmpl w:val="CEECAD80"/>
    <w:lvl w:ilvl="0" w:tplc="A27E519A">
      <w:start w:val="1"/>
      <w:numFmt w:val="decimal"/>
      <w:pStyle w:val="BulletNumbers"/>
      <w:lvlText w:val="%1."/>
      <w:lvlJc w:val="left"/>
      <w:pPr>
        <w:ind w:left="720" w:hanging="360"/>
      </w:pPr>
      <w:rPr>
        <w:rFonts w:ascii="Helvetica Neue" w:hAnsi="Helvetica Neue" w:hint="default"/>
        <w:b/>
        <w:i w:val="0"/>
        <w:color w:val="87317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DC85CB6"/>
    <w:multiLevelType w:val="multilevel"/>
    <w:tmpl w:val="8188B0B0"/>
    <w:styleLink w:val="Listeactuelle2"/>
    <w:lvl w:ilvl="0">
      <w:start w:val="1"/>
      <w:numFmt w:val="decimal"/>
      <w:lvlText w:val="%1."/>
      <w:lvlJc w:val="left"/>
      <w:pPr>
        <w:ind w:left="720" w:hanging="360"/>
      </w:pPr>
      <w:rPr>
        <w:rFonts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54225C29"/>
    <w:multiLevelType w:val="hybridMultilevel"/>
    <w:tmpl w:val="8BDA9E7A"/>
    <w:lvl w:ilvl="0" w:tplc="378A25EA">
      <w:start w:val="1"/>
      <w:numFmt w:val="bullet"/>
      <w:pStyle w:val="BulletPoint"/>
      <w:lvlText w:val=""/>
      <w:lvlJc w:val="left"/>
      <w:pPr>
        <w:ind w:left="720" w:hanging="360"/>
      </w:pPr>
      <w:rPr>
        <w:rFonts w:ascii="Symbol" w:hAnsi="Symbol" w:cs="Symbol" w:hint="default"/>
        <w:color w:val="87317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FDE19B3"/>
    <w:multiLevelType w:val="hybridMultilevel"/>
    <w:tmpl w:val="A3101F14"/>
    <w:lvl w:ilvl="0" w:tplc="91608506">
      <w:start w:val="1"/>
      <w:numFmt w:val="decimal"/>
      <w:lvlText w:val="%1."/>
      <w:lvlJc w:val="left"/>
      <w:pPr>
        <w:ind w:left="720" w:hanging="360"/>
      </w:pPr>
      <w:rPr>
        <w:rFonts w:hint="default"/>
        <w:color w:val="20466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3DC39EF"/>
    <w:multiLevelType w:val="hybridMultilevel"/>
    <w:tmpl w:val="003E8716"/>
    <w:lvl w:ilvl="0" w:tplc="E494AAAE">
      <w:start w:val="1"/>
      <w:numFmt w:val="decimal"/>
      <w:lvlText w:val="%1."/>
      <w:lvlJc w:val="left"/>
      <w:pPr>
        <w:ind w:left="360" w:hanging="360"/>
      </w:pPr>
      <w:rPr>
        <w:rFonts w:hint="default"/>
        <w:color w:val="204669"/>
      </w:rPr>
    </w:lvl>
    <w:lvl w:ilvl="1" w:tplc="BB5EB072">
      <w:start w:val="1"/>
      <w:numFmt w:val="bullet"/>
      <w:lvlText w:val=""/>
      <w:lvlJc w:val="left"/>
      <w:pPr>
        <w:ind w:left="1080" w:hanging="360"/>
      </w:pPr>
      <w:rPr>
        <w:rFonts w:ascii="Wingdings" w:hAnsi="Wingdings" w:hint="default"/>
        <w:color w:val="2F9C67"/>
      </w:rPr>
    </w:lvl>
    <w:lvl w:ilvl="2" w:tplc="F3BE74C0">
      <w:start w:val="10"/>
      <w:numFmt w:val="lowerLetter"/>
      <w:lvlText w:val="%3."/>
      <w:lvlJc w:val="left"/>
      <w:pPr>
        <w:ind w:left="1800" w:hanging="360"/>
      </w:pPr>
      <w:rPr>
        <w:rFont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8" w15:restartNumberingAfterBreak="0">
    <w:nsid w:val="7B0A0C26"/>
    <w:multiLevelType w:val="multilevel"/>
    <w:tmpl w:val="896EC014"/>
    <w:styleLink w:val="Listeactuelle1"/>
    <w:lvl w:ilvl="0">
      <w:start w:val="1"/>
      <w:numFmt w:val="bullet"/>
      <w:lvlText w:val=""/>
      <w:lvlJc w:val="left"/>
      <w:pPr>
        <w:ind w:left="720" w:hanging="360"/>
      </w:pPr>
      <w:rPr>
        <w:rFonts w:ascii="Symbol" w:hAnsi="Symbol" w:cs="Symbol"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107965138">
    <w:abstractNumId w:val="12"/>
  </w:num>
  <w:num w:numId="2" w16cid:durableId="1425803781">
    <w:abstractNumId w:val="16"/>
  </w:num>
  <w:num w:numId="3" w16cid:durableId="873539786">
    <w:abstractNumId w:val="17"/>
  </w:num>
  <w:num w:numId="4" w16cid:durableId="506870572">
    <w:abstractNumId w:val="15"/>
  </w:num>
  <w:num w:numId="5" w16cid:durableId="327514618">
    <w:abstractNumId w:val="18"/>
  </w:num>
  <w:num w:numId="6" w16cid:durableId="1340085648">
    <w:abstractNumId w:val="13"/>
  </w:num>
  <w:num w:numId="7" w16cid:durableId="1087582157">
    <w:abstractNumId w:val="14"/>
  </w:num>
  <w:num w:numId="8" w16cid:durableId="774062489">
    <w:abstractNumId w:val="4"/>
  </w:num>
  <w:num w:numId="9" w16cid:durableId="2068409294">
    <w:abstractNumId w:val="5"/>
  </w:num>
  <w:num w:numId="10" w16cid:durableId="781649123">
    <w:abstractNumId w:val="6"/>
  </w:num>
  <w:num w:numId="11" w16cid:durableId="2102334273">
    <w:abstractNumId w:val="7"/>
  </w:num>
  <w:num w:numId="12" w16cid:durableId="633021803">
    <w:abstractNumId w:val="9"/>
  </w:num>
  <w:num w:numId="13" w16cid:durableId="248463213">
    <w:abstractNumId w:val="0"/>
  </w:num>
  <w:num w:numId="14" w16cid:durableId="1564220560">
    <w:abstractNumId w:val="1"/>
  </w:num>
  <w:num w:numId="15" w16cid:durableId="1792702696">
    <w:abstractNumId w:val="2"/>
  </w:num>
  <w:num w:numId="16" w16cid:durableId="385220664">
    <w:abstractNumId w:val="3"/>
  </w:num>
  <w:num w:numId="17" w16cid:durableId="433094246">
    <w:abstractNumId w:val="8"/>
  </w:num>
  <w:num w:numId="18" w16cid:durableId="838420720">
    <w:abstractNumId w:val="10"/>
  </w:num>
  <w:num w:numId="19" w16cid:durableId="12269900">
    <w:abstractNumId w:val="11"/>
  </w:num>
  <w:num w:numId="20" w16cid:durableId="1005866436">
    <w:abstractNumId w:val="10"/>
  </w:num>
  <w:num w:numId="21" w16cid:durableId="28640105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removePersonalInformation/>
  <w:removeDateAndTim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20"/>
    <w:rsid w:val="00061220"/>
    <w:rsid w:val="000E3346"/>
    <w:rsid w:val="00143723"/>
    <w:rsid w:val="001D73D0"/>
    <w:rsid w:val="0020205A"/>
    <w:rsid w:val="00266931"/>
    <w:rsid w:val="0030145C"/>
    <w:rsid w:val="00333B12"/>
    <w:rsid w:val="00400E76"/>
    <w:rsid w:val="004457DD"/>
    <w:rsid w:val="004B4F99"/>
    <w:rsid w:val="004C4C89"/>
    <w:rsid w:val="00543096"/>
    <w:rsid w:val="0057554B"/>
    <w:rsid w:val="005A333E"/>
    <w:rsid w:val="005D42F9"/>
    <w:rsid w:val="00603D71"/>
    <w:rsid w:val="00633022"/>
    <w:rsid w:val="006757B5"/>
    <w:rsid w:val="00765849"/>
    <w:rsid w:val="007B0AE2"/>
    <w:rsid w:val="007D7E49"/>
    <w:rsid w:val="00904026"/>
    <w:rsid w:val="0091601F"/>
    <w:rsid w:val="00916A30"/>
    <w:rsid w:val="009C15CD"/>
    <w:rsid w:val="009F0897"/>
    <w:rsid w:val="00A07325"/>
    <w:rsid w:val="00A416D5"/>
    <w:rsid w:val="00A82677"/>
    <w:rsid w:val="00AE7537"/>
    <w:rsid w:val="00AF53A4"/>
    <w:rsid w:val="00B00FA1"/>
    <w:rsid w:val="00B34D8B"/>
    <w:rsid w:val="00B51208"/>
    <w:rsid w:val="00BA04BA"/>
    <w:rsid w:val="00BF4DD1"/>
    <w:rsid w:val="00BF72FB"/>
    <w:rsid w:val="00C14D1E"/>
    <w:rsid w:val="00C30C1C"/>
    <w:rsid w:val="00C64CF2"/>
    <w:rsid w:val="00C9077F"/>
    <w:rsid w:val="00CA5CC2"/>
    <w:rsid w:val="00CA774A"/>
    <w:rsid w:val="00CC24BD"/>
    <w:rsid w:val="00CE6B25"/>
    <w:rsid w:val="00D20D78"/>
    <w:rsid w:val="00D84F03"/>
    <w:rsid w:val="00D96081"/>
    <w:rsid w:val="00DB2DFF"/>
    <w:rsid w:val="00DB5849"/>
    <w:rsid w:val="00E468A8"/>
    <w:rsid w:val="00E52B1F"/>
    <w:rsid w:val="00E9368A"/>
    <w:rsid w:val="00F31BA9"/>
    <w:rsid w:val="00F56D10"/>
    <w:rsid w:val="00F81892"/>
    <w:rsid w:val="00FF5A47"/>
    <w:rsid w:val="0A66BC05"/>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A33F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iPriority w:val="9"/>
    <w:qFormat/>
    <w:rsid w:val="004B4F99"/>
    <w:pPr>
      <w:keepNext/>
      <w:keepLines/>
      <w:spacing w:before="240"/>
      <w:outlineLvl w:val="0"/>
    </w:pPr>
    <w:rPr>
      <w:rFonts w:ascii="Helvetica Neue" w:eastAsiaTheme="majorEastAsia" w:hAnsi="Helvetica Neue" w:cstheme="majorBidi"/>
      <w:b/>
      <w:bCs/>
      <w:caps/>
      <w:color w:val="204669"/>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1220"/>
    <w:pPr>
      <w:tabs>
        <w:tab w:val="center" w:pos="4536"/>
        <w:tab w:val="right" w:pos="9072"/>
      </w:tabs>
    </w:pPr>
  </w:style>
  <w:style w:type="paragraph" w:styleId="BodyText">
    <w:name w:val="Body Text"/>
    <w:basedOn w:val="Normal"/>
    <w:link w:val="BodyTextChar"/>
    <w:uiPriority w:val="99"/>
    <w:semiHidden/>
    <w:unhideWhenUsed/>
    <w:rsid w:val="001D73D0"/>
    <w:pPr>
      <w:spacing w:after="120"/>
    </w:pPr>
  </w:style>
  <w:style w:type="character" w:customStyle="1" w:styleId="BodyTextChar">
    <w:name w:val="Body Text Char"/>
    <w:basedOn w:val="DefaultParagraphFont"/>
    <w:link w:val="BodyText"/>
    <w:uiPriority w:val="99"/>
    <w:semiHidden/>
    <w:rsid w:val="001D73D0"/>
  </w:style>
  <w:style w:type="character" w:customStyle="1" w:styleId="HeaderChar">
    <w:name w:val="Header Char"/>
    <w:basedOn w:val="DefaultParagraphFont"/>
    <w:link w:val="Header"/>
    <w:uiPriority w:val="99"/>
    <w:rsid w:val="00061220"/>
  </w:style>
  <w:style w:type="paragraph" w:styleId="Footer">
    <w:name w:val="footer"/>
    <w:basedOn w:val="Normal"/>
    <w:link w:val="FooterChar"/>
    <w:uiPriority w:val="99"/>
    <w:unhideWhenUsed/>
    <w:rsid w:val="00061220"/>
    <w:pPr>
      <w:tabs>
        <w:tab w:val="center" w:pos="4536"/>
        <w:tab w:val="right" w:pos="9072"/>
      </w:tabs>
    </w:pPr>
  </w:style>
  <w:style w:type="character" w:customStyle="1" w:styleId="FooterChar">
    <w:name w:val="Footer Char"/>
    <w:basedOn w:val="DefaultParagraphFont"/>
    <w:link w:val="Footer"/>
    <w:uiPriority w:val="99"/>
    <w:rsid w:val="00061220"/>
  </w:style>
  <w:style w:type="paragraph" w:customStyle="1" w:styleId="TOOLTITLE">
    <w:name w:val="TOOL TITLE"/>
    <w:qFormat/>
    <w:rsid w:val="00FF5A47"/>
    <w:pPr>
      <w:adjustRightInd w:val="0"/>
      <w:snapToGrid w:val="0"/>
      <w:ind w:hanging="709"/>
    </w:pPr>
    <w:rPr>
      <w:rFonts w:ascii="Arial" w:hAnsi="Arial" w:cs="Arial"/>
      <w:b/>
      <w:bCs/>
      <w:noProof/>
      <w:color w:val="FFFFFF" w:themeColor="background1"/>
      <w:sz w:val="36"/>
      <w:szCs w:val="36"/>
    </w:rPr>
  </w:style>
  <w:style w:type="paragraph" w:styleId="Subtitle">
    <w:name w:val="Subtitle"/>
    <w:basedOn w:val="Normal"/>
    <w:next w:val="Normal"/>
    <w:link w:val="SubtitleChar"/>
    <w:uiPriority w:val="11"/>
    <w:qFormat/>
    <w:rsid w:val="00FF5A47"/>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FF5A47"/>
    <w:rPr>
      <w:rFonts w:eastAsiaTheme="minorEastAsia"/>
      <w:color w:val="5A5A5A" w:themeColor="text1" w:themeTint="A5"/>
      <w:spacing w:val="15"/>
      <w:sz w:val="22"/>
      <w:szCs w:val="22"/>
    </w:rPr>
  </w:style>
  <w:style w:type="character" w:styleId="PageNumber">
    <w:name w:val="page number"/>
    <w:basedOn w:val="DefaultParagraphFont"/>
    <w:uiPriority w:val="99"/>
    <w:semiHidden/>
    <w:unhideWhenUsed/>
    <w:rsid w:val="00C30C1C"/>
    <w:rPr>
      <w:rFonts w:ascii="Helvetica Neue Medium" w:hAnsi="Helvetica Neue Medium"/>
      <w:b w:val="0"/>
      <w:i w:val="0"/>
    </w:rPr>
  </w:style>
  <w:style w:type="character" w:customStyle="1" w:styleId="Heading1Char">
    <w:name w:val="Heading 1 Char"/>
    <w:basedOn w:val="DefaultParagraphFont"/>
    <w:link w:val="Heading1"/>
    <w:uiPriority w:val="9"/>
    <w:rsid w:val="004B4F99"/>
    <w:rPr>
      <w:rFonts w:ascii="Helvetica Neue" w:eastAsiaTheme="majorEastAsia" w:hAnsi="Helvetica Neue" w:cstheme="majorBidi"/>
      <w:b/>
      <w:bCs/>
      <w:caps/>
      <w:color w:val="204669"/>
      <w:sz w:val="32"/>
      <w:szCs w:val="32"/>
      <w:u w:val="single"/>
    </w:rPr>
  </w:style>
  <w:style w:type="paragraph" w:customStyle="1" w:styleId="H2">
    <w:name w:val="H2"/>
    <w:qFormat/>
    <w:rsid w:val="004B4F99"/>
    <w:rPr>
      <w:rFonts w:ascii="Helvetica Neue Medium" w:hAnsi="Helvetica Neue Medium"/>
      <w:color w:val="873174"/>
    </w:rPr>
  </w:style>
  <w:style w:type="paragraph" w:customStyle="1" w:styleId="H1">
    <w:name w:val="H1"/>
    <w:qFormat/>
    <w:rsid w:val="007D7E49"/>
    <w:rPr>
      <w:rFonts w:ascii="Helvetica Neue" w:eastAsiaTheme="majorEastAsia" w:hAnsi="Helvetica Neue" w:cstheme="majorBidi"/>
      <w:b/>
      <w:bCs/>
      <w:caps/>
      <w:color w:val="204669"/>
      <w:sz w:val="32"/>
      <w:szCs w:val="32"/>
      <w:u w:val="single"/>
    </w:rPr>
  </w:style>
  <w:style w:type="paragraph" w:customStyle="1" w:styleId="H3">
    <w:name w:val="H3"/>
    <w:qFormat/>
    <w:rsid w:val="00916A30"/>
    <w:rPr>
      <w:rFonts w:ascii="Helvetica Neue Medium" w:hAnsi="Helvetica Neue Medium"/>
      <w:color w:val="D7337F"/>
      <w:sz w:val="23"/>
      <w:szCs w:val="23"/>
    </w:rPr>
  </w:style>
  <w:style w:type="paragraph" w:customStyle="1" w:styleId="H4">
    <w:name w:val="H4"/>
    <w:qFormat/>
    <w:rsid w:val="00916A30"/>
    <w:rPr>
      <w:rFonts w:ascii="Helvetica Neue" w:hAnsi="Helvetica Neue"/>
      <w:color w:val="873174"/>
      <w:sz w:val="23"/>
      <w:szCs w:val="23"/>
      <w:u w:val="single"/>
    </w:rPr>
  </w:style>
  <w:style w:type="paragraph" w:customStyle="1" w:styleId="BodyCopy">
    <w:name w:val="Body Copy"/>
    <w:qFormat/>
    <w:rsid w:val="00D84F03"/>
    <w:pPr>
      <w:jc w:val="both"/>
    </w:pPr>
    <w:rPr>
      <w:rFonts w:ascii="Helvetica Neue Light" w:hAnsi="Helvetica Neue Light"/>
      <w:color w:val="000000" w:themeColor="text1"/>
      <w:sz w:val="20"/>
      <w:szCs w:val="20"/>
    </w:rPr>
  </w:style>
  <w:style w:type="paragraph" w:customStyle="1" w:styleId="BulletPoint">
    <w:name w:val="Bullet Point"/>
    <w:basedOn w:val="BodyCopy"/>
    <w:qFormat/>
    <w:rsid w:val="00D84F03"/>
    <w:pPr>
      <w:numPr>
        <w:numId w:val="4"/>
      </w:numPr>
    </w:pPr>
  </w:style>
  <w:style w:type="character" w:customStyle="1" w:styleId="Bold">
    <w:name w:val="Bold"/>
    <w:basedOn w:val="DefaultParagraphFont"/>
    <w:uiPriority w:val="1"/>
    <w:qFormat/>
    <w:rsid w:val="00E52B1F"/>
    <w:rPr>
      <w:rFonts w:ascii="Helvetica Neue" w:hAnsi="Helvetica Neue"/>
      <w:b/>
      <w:bCs/>
    </w:rPr>
  </w:style>
  <w:style w:type="paragraph" w:customStyle="1" w:styleId="BulletNumbers">
    <w:name w:val="Bullet Numbers"/>
    <w:qFormat/>
    <w:rsid w:val="00E52B1F"/>
    <w:pPr>
      <w:numPr>
        <w:numId w:val="6"/>
      </w:numPr>
    </w:pPr>
    <w:rPr>
      <w:rFonts w:ascii="Helvetica Neue Light" w:hAnsi="Helvetica Neue Light"/>
      <w:color w:val="000000" w:themeColor="text1"/>
      <w:sz w:val="20"/>
      <w:szCs w:val="20"/>
    </w:rPr>
  </w:style>
  <w:style w:type="numbering" w:customStyle="1" w:styleId="Listeactuelle1">
    <w:name w:val="Liste actuelle1"/>
    <w:uiPriority w:val="99"/>
    <w:rsid w:val="00E52B1F"/>
    <w:pPr>
      <w:numPr>
        <w:numId w:val="5"/>
      </w:numPr>
    </w:pPr>
  </w:style>
  <w:style w:type="numbering" w:customStyle="1" w:styleId="Listeactuelle2">
    <w:name w:val="Liste actuelle2"/>
    <w:uiPriority w:val="99"/>
    <w:rsid w:val="00E52B1F"/>
    <w:pPr>
      <w:numPr>
        <w:numId w:val="7"/>
      </w:numPr>
    </w:pPr>
  </w:style>
  <w:style w:type="character" w:styleId="FootnoteReference">
    <w:name w:val="footnote reference"/>
    <w:basedOn w:val="DefaultParagraphFont"/>
    <w:uiPriority w:val="99"/>
    <w:semiHidden/>
    <w:unhideWhenUsed/>
    <w:rsid w:val="00CA774A"/>
    <w:rPr>
      <w:vertAlign w:val="superscript"/>
    </w:rPr>
  </w:style>
  <w:style w:type="paragraph" w:styleId="FootnoteText">
    <w:name w:val="footnote text"/>
    <w:aliases w:val="Footnotes"/>
    <w:link w:val="FootnoteTextChar"/>
    <w:uiPriority w:val="99"/>
    <w:unhideWhenUsed/>
    <w:rsid w:val="00CA774A"/>
    <w:pPr>
      <w:pBdr>
        <w:top w:val="nil"/>
        <w:left w:val="nil"/>
        <w:bottom w:val="nil"/>
        <w:right w:val="nil"/>
        <w:between w:val="nil"/>
      </w:pBdr>
    </w:pPr>
    <w:rPr>
      <w:rFonts w:ascii="Helvetica Neue" w:hAnsi="Helvetica Neue"/>
      <w:sz w:val="15"/>
      <w:szCs w:val="15"/>
    </w:rPr>
  </w:style>
  <w:style w:type="character" w:customStyle="1" w:styleId="FootnoteTextChar">
    <w:name w:val="Footnote Text Char"/>
    <w:aliases w:val="Footnotes Char"/>
    <w:basedOn w:val="DefaultParagraphFont"/>
    <w:link w:val="FootnoteText"/>
    <w:uiPriority w:val="99"/>
    <w:rsid w:val="00CA774A"/>
    <w:rPr>
      <w:rFonts w:ascii="Helvetica Neue" w:hAnsi="Helvetica Neue"/>
      <w:sz w:val="15"/>
      <w:szCs w:val="15"/>
      <w:lang w:val="fr-FR"/>
    </w:rPr>
  </w:style>
  <w:style w:type="table" w:styleId="TableGrid">
    <w:name w:val="Table Grid"/>
    <w:basedOn w:val="TableNormal"/>
    <w:uiPriority w:val="39"/>
    <w:rsid w:val="00CC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Header"/>
    <w:qFormat/>
    <w:rsid w:val="00A07325"/>
    <w:rPr>
      <w:rFonts w:ascii="Helvetica Neue" w:hAnsi="Helvetica Neue"/>
      <w:b/>
      <w:bCs/>
      <w:color w:val="FFFFFF" w:themeColor="background1"/>
    </w:rPr>
  </w:style>
  <w:style w:type="paragraph" w:customStyle="1" w:styleId="TableBullet">
    <w:name w:val="TableBullet"/>
    <w:qFormat/>
    <w:rsid w:val="00B00FA1"/>
    <w:pPr>
      <w:numPr>
        <w:numId w:val="18"/>
      </w:numPr>
    </w:pPr>
    <w:rPr>
      <w:rFonts w:ascii="Helvetica Neue Light" w:hAnsi="Helvetica Neue Light"/>
      <w:color w:val="000000" w:themeColor="text1"/>
      <w:sz w:val="20"/>
      <w:szCs w:val="20"/>
    </w:rPr>
  </w:style>
  <w:style w:type="character" w:styleId="Hyperlink">
    <w:name w:val="Hyperlink"/>
    <w:basedOn w:val="DefaultParagraphFont"/>
    <w:uiPriority w:val="99"/>
    <w:unhideWhenUsed/>
    <w:rsid w:val="005A333E"/>
    <w:rPr>
      <w:rFonts w:ascii="Helvetica Neue Light" w:hAnsi="Helvetica Neue Light"/>
      <w:b w:val="0"/>
      <w:i w:val="0"/>
      <w:color w:val="873174"/>
      <w:u w:val="single"/>
    </w:rPr>
  </w:style>
  <w:style w:type="character" w:styleId="UnresolvedMention">
    <w:name w:val="Unresolved Mention"/>
    <w:basedOn w:val="DefaultParagraphFont"/>
    <w:uiPriority w:val="99"/>
    <w:semiHidden/>
    <w:unhideWhenUsed/>
    <w:rsid w:val="00603D71"/>
    <w:rPr>
      <w:color w:val="605E5C"/>
      <w:shd w:val="clear" w:color="auto" w:fill="E1DFDD"/>
    </w:rPr>
  </w:style>
  <w:style w:type="character" w:styleId="FollowedHyperlink">
    <w:name w:val="FollowedHyperlink"/>
    <w:basedOn w:val="DefaultParagraphFont"/>
    <w:uiPriority w:val="99"/>
    <w:semiHidden/>
    <w:unhideWhenUsed/>
    <w:rsid w:val="005A333E"/>
    <w:rPr>
      <w:color w:val="954F72" w:themeColor="followedHyperlink"/>
      <w:u w:val="single"/>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a9a6d0592d8592645f9ad59c0145b9c8">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0e8a516f8ed96b6ee97a40a6db8706ba"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documentManagement>
</p:properties>
</file>

<file path=customXml/itemProps1.xml><?xml version="1.0" encoding="utf-8"?>
<ds:datastoreItem xmlns:ds="http://schemas.openxmlformats.org/officeDocument/2006/customXml" ds:itemID="{860DD7EF-5DC7-5743-9C05-82A589179BAE}">
  <ds:schemaRefs>
    <ds:schemaRef ds:uri="http://schemas.openxmlformats.org/officeDocument/2006/bibliography"/>
  </ds:schemaRefs>
</ds:datastoreItem>
</file>

<file path=customXml/itemProps2.xml><?xml version="1.0" encoding="utf-8"?>
<ds:datastoreItem xmlns:ds="http://schemas.openxmlformats.org/officeDocument/2006/customXml" ds:itemID="{D215A0CC-CC2C-4B38-8F9A-261615261432}"/>
</file>

<file path=customXml/itemProps3.xml><?xml version="1.0" encoding="utf-8"?>
<ds:datastoreItem xmlns:ds="http://schemas.openxmlformats.org/officeDocument/2006/customXml" ds:itemID="{6272335A-186C-446E-897B-29DB01F5A9FB}">
  <ds:schemaRefs>
    <ds:schemaRef ds:uri="http://schemas.microsoft.com/sharepoint/v3/contenttype/forms"/>
  </ds:schemaRefs>
</ds:datastoreItem>
</file>

<file path=customXml/itemProps4.xml><?xml version="1.0" encoding="utf-8"?>
<ds:datastoreItem xmlns:ds="http://schemas.openxmlformats.org/officeDocument/2006/customXml" ds:itemID="{8A54940D-C773-4BE3-819F-AA081ECC2E57}">
  <ds:schemaRefs>
    <ds:schemaRef ds:uri="http://schemas.microsoft.com/office/2006/metadata/properties"/>
    <ds:schemaRef ds:uri="http://schemas.microsoft.com/office/infopath/2007/PartnerControls"/>
    <ds:schemaRef ds:uri="http://schemas.microsoft.com/sharepoint/v3"/>
    <ds:schemaRef ds:uri="133e5729-7bb1-4685-bd1f-c5e580a2ee33"/>
    <ds:schemaRef ds:uri="cf328f71-004c-4ec5-8aac-4c1fe87c002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620</Words>
  <Characters>3537</Characters>
  <Application>Microsoft Office Word</Application>
  <DocSecurity>0</DocSecurity>
  <Lines>29</Lines>
  <Paragraphs>8</Paragraphs>
  <ScaleCrop>false</ScaleCrop>
  <Company/>
  <LinksUpToDate>false</LinksUpToDate>
  <CharactersWithSpaces>4149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2023-04-06T10:00:00Z</dcterms:created>
  <dcterms:modified xsi:type="dcterms:W3CDTF">2024-04-08T11:44:00Z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0x0101004A95F0ADE9F2AD449E2722195F92FF5E</vt:lpwstr>
  </property>
  <property fmtid="{D5CDD505-2E9C-101B-9397-08002B2CF9AE}" pid="3" name="ClassificationContentMarkingFooterShapeIds">
    <vt:lpwstr>180ed4df,6e8fe5ab,7bbd19d1</vt:lpwstr>
  </property>
  <property fmtid="{D5CDD505-2E9C-101B-9397-08002B2CF9AE}" pid="4" name="ClassificationContentMarkingFooterFontProps">
    <vt:lpwstr>#000000,10,Calibri</vt:lpwstr>
  </property>
  <property fmtid="{D5CDD505-2E9C-101B-9397-08002B2CF9AE}" pid="5" name="ClassificationContentMarkingFooterText">
    <vt:lpwstr>Public</vt:lpwstr>
  </property>
  <property fmtid="{D5CDD505-2E9C-101B-9397-08002B2CF9AE}" pid="6" name="MSIP_Label_caf3f7fd-5cd4-4287-9002-aceb9af13c42_Enabled">
    <vt:lpwstr>true</vt:lpwstr>
  </property>
  <property fmtid="{D5CDD505-2E9C-101B-9397-08002B2CF9AE}" pid="7" name="MSIP_Label_caf3f7fd-5cd4-4287-9002-aceb9af13c42_SetDate">
    <vt:lpwstr>2023-11-29T12:36:05Z</vt:lpwstr>
  </property>
  <property fmtid="{D5CDD505-2E9C-101B-9397-08002B2CF9AE}" pid="8" name="MSIP_Label_caf3f7fd-5cd4-4287-9002-aceb9af13c42_Method">
    <vt:lpwstr>Privileged</vt:lpwstr>
  </property>
  <property fmtid="{D5CDD505-2E9C-101B-9397-08002B2CF9AE}" pid="9" name="MSIP_Label_caf3f7fd-5cd4-4287-9002-aceb9af13c42_Name">
    <vt:lpwstr>Public</vt:lpwstr>
  </property>
  <property fmtid="{D5CDD505-2E9C-101B-9397-08002B2CF9AE}" pid="10" name="MSIP_Label_caf3f7fd-5cd4-4287-9002-aceb9af13c42_SiteId">
    <vt:lpwstr>a2b53be5-734e-4e6c-ab0d-d184f60fd917</vt:lpwstr>
  </property>
  <property fmtid="{D5CDD505-2E9C-101B-9397-08002B2CF9AE}" pid="11" name="MSIP_Label_caf3f7fd-5cd4-4287-9002-aceb9af13c42_ActionId">
    <vt:lpwstr>0dd8f690-0823-420a-930e-71a821c29cb1</vt:lpwstr>
  </property>
  <property fmtid="{D5CDD505-2E9C-101B-9397-08002B2CF9AE}" pid="12" name="MSIP_Label_caf3f7fd-5cd4-4287-9002-aceb9af13c42_ContentBits">
    <vt:lpwstr>2</vt:lpwstr>
  </property>
</Properties>
</file>