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02A17" w:rsidR="00CC24BD" w:rsidP="00CC24BD" w:rsidRDefault="00DF3622" w14:paraId="6AF36542" w14:textId="33D9AB20">
      <w:pPr>
        <w:pStyle w:val="BodyCopy"/>
      </w:pPr>
      <w:r>
        <w:t>Le tableau ci-dessous fournit toutes les ressources contenues dans le kit de retour d’information de la FICR, structuré par l’étape du cycle du retour d’information lorsqu'ils sont les plus pertinents :</w:t>
      </w:r>
    </w:p>
    <w:p w:rsidRPr="00A85A18" w:rsidR="002B2D8D" w:rsidP="00CC24BD" w:rsidRDefault="002B2D8D" w14:paraId="4086B2C8" w14:textId="77777777">
      <w:pPr>
        <w:pStyle w:val="BodyCopy"/>
      </w:pPr>
    </w:p>
    <w:tbl>
      <w:tblPr>
        <w:tblStyle w:val="TableGrid"/>
        <w:tblW w:w="9895" w:type="dxa"/>
        <w:tblBorders>
          <w:top w:val="single" w:color="873174" w:sz="4" w:space="0"/>
          <w:left w:val="single" w:color="873174" w:sz="4" w:space="0"/>
          <w:bottom w:val="single" w:color="873174" w:sz="4" w:space="0"/>
          <w:right w:val="single" w:color="873174" w:sz="4" w:space="0"/>
          <w:insideH w:val="single" w:color="873174" w:sz="4" w:space="0"/>
          <w:insideV w:val="single" w:color="873174" w:sz="4" w:space="0"/>
        </w:tblBorders>
        <w:tblCellMar>
          <w:top w:w="86" w:type="dxa"/>
          <w:left w:w="58" w:type="dxa"/>
          <w:bottom w:w="86" w:type="dxa"/>
          <w:right w:w="58" w:type="dxa"/>
        </w:tblCellMar>
        <w:tblLook w:val="04A0" w:firstRow="1" w:lastRow="0" w:firstColumn="1" w:lastColumn="0" w:noHBand="0" w:noVBand="1"/>
      </w:tblPr>
      <w:tblGrid>
        <w:gridCol w:w="4855"/>
        <w:gridCol w:w="5040"/>
      </w:tblGrid>
      <w:tr w:rsidRPr="00802A17" w:rsidR="00FE0E26" w:rsidTr="1BEEAA00" w14:paraId="7A2F3F1D" w14:textId="77777777">
        <w:trPr>
          <w:trHeight w:val="193"/>
        </w:trPr>
        <w:tc>
          <w:tcPr>
            <w:tcW w:w="9895" w:type="dxa"/>
            <w:gridSpan w:val="2"/>
            <w:tcBorders>
              <w:right w:val="single" w:color="FFFFFF" w:themeColor="background1" w:sz="4" w:space="0"/>
            </w:tcBorders>
            <w:shd w:val="clear" w:color="auto" w:fill="943482"/>
            <w:tcMar/>
          </w:tcPr>
          <w:p w:rsidRPr="00802A17" w:rsidR="00FE0E26" w:rsidP="00FE0E26" w:rsidRDefault="00FE0E26" w14:paraId="356D615C" w14:textId="7C41C74A">
            <w:pPr>
              <w:pStyle w:val="TableHeader"/>
            </w:pPr>
            <w:r>
              <w:t>ÉTAPE 1 - CONSTRUIRE UN MÉCANISME DE RETOUR D'INFORMATION</w:t>
            </w:r>
          </w:p>
        </w:tc>
      </w:tr>
      <w:tr w:rsidRPr="00802A17" w:rsidR="00F36971" w:rsidTr="1BEEAA00" w14:paraId="1FA2F6A2" w14:textId="77777777">
        <w:trPr>
          <w:trHeight w:val="45"/>
        </w:trPr>
        <w:tc>
          <w:tcPr>
            <w:tcW w:w="4855" w:type="dxa"/>
            <w:shd w:val="clear" w:color="auto" w:fill="EADDEB"/>
            <w:tcMar/>
            <w:vAlign w:val="center"/>
          </w:tcPr>
          <w:p w:rsidRPr="00802A17" w:rsidR="00F36971" w:rsidP="00F36971" w:rsidRDefault="009330A2" w14:paraId="01952B1C" w14:textId="7EE39031">
            <w:pPr>
              <w:pStyle w:val="BodyCopy"/>
              <w:jc w:val="left"/>
              <w:rPr>
                <w:b/>
                <w:bCs/>
                <w:i/>
                <w:iCs/>
              </w:rPr>
            </w:pPr>
            <w:r>
              <w:rPr>
                <w:b/>
                <w:i/>
              </w:rPr>
              <w:t>Ressources :</w:t>
            </w:r>
          </w:p>
        </w:tc>
        <w:tc>
          <w:tcPr>
            <w:tcW w:w="5040" w:type="dxa"/>
            <w:shd w:val="clear" w:color="auto" w:fill="EADDEB"/>
            <w:tcMar/>
          </w:tcPr>
          <w:p w:rsidRPr="00802A17" w:rsidR="00F36971" w:rsidP="009330A2" w:rsidRDefault="009330A2" w14:paraId="52A3701E" w14:textId="77E15BE5">
            <w:pPr>
              <w:pStyle w:val="TableBullet"/>
              <w:numPr>
                <w:ilvl w:val="0"/>
                <w:numId w:val="0"/>
              </w:numPr>
              <w:ind w:left="223" w:hanging="147"/>
              <w:rPr>
                <w:b/>
                <w:bCs/>
                <w:i/>
                <w:iCs/>
              </w:rPr>
            </w:pPr>
            <w:r>
              <w:rPr>
                <w:b/>
                <w:i/>
              </w:rPr>
              <w:t>À quoi sert cette ressource ?</w:t>
            </w:r>
          </w:p>
        </w:tc>
      </w:tr>
      <w:tr w:rsidRPr="00802A17" w:rsidR="00833C54" w:rsidTr="1BEEAA00" w14:paraId="2A859FE8" w14:textId="77777777">
        <w:trPr>
          <w:trHeight w:val="193"/>
        </w:trPr>
        <w:tc>
          <w:tcPr>
            <w:tcW w:w="4855" w:type="dxa"/>
            <w:shd w:val="clear" w:color="auto" w:fill="auto"/>
            <w:tcMar/>
            <w:vAlign w:val="center"/>
          </w:tcPr>
          <w:p w:rsidRPr="00802A17" w:rsidR="00833C54" w:rsidP="00837696" w:rsidRDefault="00833C54" w14:paraId="6E387A2F" w14:textId="5A379355">
            <w:pPr>
              <w:pStyle w:val="BodyCopy"/>
              <w:jc w:val="left"/>
            </w:pPr>
            <w:r>
              <w:t xml:space="preserve">Outil de retour d’information 1 : </w:t>
            </w:r>
            <w:hyperlink r:id="rId8">
              <w:r>
                <w:rPr>
                  <w:rStyle w:val="Hyperlink"/>
                </w:rPr>
                <w:t>Conseils pour créer une adhésion des dirigeants</w:t>
              </w:r>
            </w:hyperlink>
            <w:r>
              <w:rPr>
                <w:rStyle w:val="Hyperlink"/>
              </w:rPr>
              <w:t xml:space="preserve"> </w:t>
            </w:r>
          </w:p>
        </w:tc>
        <w:tc>
          <w:tcPr>
            <w:tcW w:w="5040" w:type="dxa"/>
            <w:shd w:val="clear" w:color="auto" w:fill="auto"/>
            <w:tcMar/>
          </w:tcPr>
          <w:p w:rsidRPr="00802A17" w:rsidR="00833C54" w:rsidP="00837696" w:rsidRDefault="00833C54" w14:paraId="07B449F3" w14:textId="211BFBC6">
            <w:pPr>
              <w:pStyle w:val="BodyCopy"/>
              <w:jc w:val="left"/>
            </w:pPr>
            <w:r>
              <w:t>Des conseils pratiques peuvent vous aider à gagner l’adhésion des dirigeants de votre organisation et en faire des défenseurs des mécanismes de retour d'information de la communauté.</w:t>
            </w:r>
          </w:p>
        </w:tc>
      </w:tr>
      <w:tr w:rsidRPr="00802A17" w:rsidR="0055118C" w:rsidTr="1BEEAA00" w14:paraId="5DC1D77F" w14:textId="77777777">
        <w:trPr>
          <w:trHeight w:val="193"/>
        </w:trPr>
        <w:tc>
          <w:tcPr>
            <w:tcW w:w="4855" w:type="dxa"/>
            <w:shd w:val="clear" w:color="auto" w:fill="auto"/>
            <w:tcMar/>
            <w:vAlign w:val="center"/>
          </w:tcPr>
          <w:p w:rsidRPr="00802A17" w:rsidR="0055118C" w:rsidP="00837696" w:rsidRDefault="0055118C" w14:paraId="796CFCD1" w14:textId="4D37C5A2">
            <w:pPr>
              <w:pStyle w:val="BodyCopy"/>
              <w:jc w:val="left"/>
            </w:pPr>
            <w:r>
              <w:t>Outil 1 du kit CEA :</w:t>
            </w:r>
            <w:r>
              <w:rPr>
                <w:rFonts w:ascii="OpenSans-Light" w:hAnsi="OpenSans-Light"/>
                <w:color w:val="99287D"/>
                <w:sz w:val="19"/>
              </w:rPr>
              <w:t xml:space="preserve"> </w:t>
            </w:r>
            <w:hyperlink w:history="1" r:id="rId9">
              <w:r>
                <w:rPr>
                  <w:rStyle w:val="Hyperlink"/>
                </w:rPr>
                <w:t>Séance d'information de pour les dirigeants</w:t>
              </w:r>
            </w:hyperlink>
          </w:p>
        </w:tc>
        <w:tc>
          <w:tcPr>
            <w:tcW w:w="5040" w:type="dxa"/>
            <w:shd w:val="clear" w:color="auto" w:fill="auto"/>
            <w:tcMar/>
          </w:tcPr>
          <w:p w:rsidRPr="00802A17" w:rsidR="0055118C" w:rsidP="00837696" w:rsidRDefault="000F7A05" w14:paraId="652BD61C" w14:textId="1C684812">
            <w:pPr>
              <w:pStyle w:val="BodyCopy"/>
              <w:jc w:val="left"/>
            </w:pPr>
            <w:r>
              <w:t>Une courte session PPT pour les dirigeants afin d'expliquer ce qu'est le CEA et les avantages qu'il peut avoir pour la réputation de l'organisation, le financement et les partenariats, l'efficacité, la qualité et la durabilité financière.</w:t>
            </w:r>
          </w:p>
        </w:tc>
      </w:tr>
      <w:tr w:rsidRPr="00802A17" w:rsidR="000F7A05" w:rsidTr="1BEEAA00" w14:paraId="16F06D34" w14:textId="77777777">
        <w:trPr>
          <w:trHeight w:val="193"/>
        </w:trPr>
        <w:tc>
          <w:tcPr>
            <w:tcW w:w="4855" w:type="dxa"/>
            <w:shd w:val="clear" w:color="auto" w:fill="auto"/>
            <w:tcMar/>
            <w:vAlign w:val="center"/>
          </w:tcPr>
          <w:p w:rsidRPr="00B9698E" w:rsidR="000F7A05" w:rsidP="00837696" w:rsidRDefault="00A85A18" w14:paraId="1F2D5DAE" w14:textId="2D090F57">
            <w:pPr>
              <w:pStyle w:val="BodyCopy"/>
              <w:jc w:val="left"/>
            </w:pPr>
            <w:hyperlink w:history="1" r:id="rId10">
              <w:r w:rsidR="006B506D">
                <w:rPr>
                  <w:rStyle w:val="Hyperlink"/>
                </w:rPr>
                <w:t>Fanzine :</w:t>
              </w:r>
            </w:hyperlink>
            <w:r w:rsidR="006B506D">
              <w:t> :</w:t>
            </w:r>
            <w:hyperlink w:history="1" r:id="rId11">
              <w:r w:rsidR="006B506D">
                <w:rPr>
                  <w:rStyle w:val="Hyperlink"/>
                </w:rPr>
                <w:t>Voulez-vous que les gens vous fassent confiance ?</w:t>
              </w:r>
            </w:hyperlink>
            <w:hyperlink w:history="1" r:id="rId12">
              <w:r w:rsidR="006B506D">
                <w:rPr>
                  <w:rStyle w:val="Hyperlink"/>
                </w:rPr>
                <w:t xml:space="preserve"> Commencez par les écouter.</w:t>
              </w:r>
            </w:hyperlink>
          </w:p>
        </w:tc>
        <w:tc>
          <w:tcPr>
            <w:tcW w:w="5040" w:type="dxa"/>
            <w:shd w:val="clear" w:color="auto" w:fill="auto"/>
            <w:tcMar/>
          </w:tcPr>
          <w:p w:rsidR="000F7A05" w:rsidP="00837696" w:rsidRDefault="0092580D" w14:paraId="2A6F9D40" w14:textId="37E94DCC">
            <w:pPr>
              <w:pStyle w:val="BodyCopy"/>
              <w:jc w:val="left"/>
            </w:pPr>
            <w:r>
              <w:t>Un fanzine sur l'importance de l’engagement communautaire ainsi que des exemples pratiques, des conseils et des ressources sur la façon d’engager différentes communautés. Cette ressource est conçue pour être imprimée sous la forme d’un dépliant.</w:t>
            </w:r>
          </w:p>
        </w:tc>
      </w:tr>
      <w:tr w:rsidRPr="00802A17" w:rsidR="00F36971" w:rsidTr="1BEEAA00" w14:paraId="05BAE998" w14:textId="77777777">
        <w:trPr>
          <w:trHeight w:val="193"/>
        </w:trPr>
        <w:tc>
          <w:tcPr>
            <w:tcW w:w="4855" w:type="dxa"/>
            <w:shd w:val="clear" w:color="auto" w:fill="auto"/>
            <w:tcMar/>
            <w:vAlign w:val="center"/>
          </w:tcPr>
          <w:p w:rsidRPr="00802A17" w:rsidR="00F36971" w:rsidP="00837696" w:rsidRDefault="00F36971" w14:paraId="49DC777F" w14:textId="5B436461">
            <w:pPr>
              <w:pStyle w:val="BodyCopy"/>
              <w:jc w:val="left"/>
              <w:rPr>
                <w:color w:val="99287D"/>
                <w:sz w:val="18"/>
                <w:szCs w:val="18"/>
              </w:rPr>
            </w:pPr>
            <w:r>
              <w:t xml:space="preserve">Outil de retour d’information 2 : </w:t>
            </w:r>
            <w:hyperlink w:history="1" r:id="rId13">
              <w:r>
                <w:rPr>
                  <w:rStyle w:val="Hyperlink"/>
                </w:rPr>
                <w:t>Déterminer l'ampleur d’un mécanisme de retour d'information</w:t>
              </w:r>
            </w:hyperlink>
            <w:r>
              <w:t xml:space="preserve"> </w:t>
            </w:r>
          </w:p>
        </w:tc>
        <w:tc>
          <w:tcPr>
            <w:tcW w:w="5040" w:type="dxa"/>
            <w:shd w:val="clear" w:color="auto" w:fill="auto"/>
            <w:tcMar/>
          </w:tcPr>
          <w:p w:rsidRPr="00802A17" w:rsidR="00F36971" w:rsidP="00837696" w:rsidRDefault="00F36971" w14:paraId="29E12A64" w14:textId="7EECE745">
            <w:pPr>
              <w:pStyle w:val="BodyCopy"/>
              <w:jc w:val="left"/>
            </w:pPr>
            <w:r>
              <w:t>Posez à votre organisation des questions essentielles pour vous assurer que vous êtes en mesure de gérer le retour d'information que vous recevrez et que l'analyse et l'action se font aux bons niveaux</w:t>
            </w:r>
          </w:p>
        </w:tc>
      </w:tr>
      <w:tr w:rsidRPr="00802A17" w:rsidR="00F36971" w:rsidTr="1BEEAA00" w14:paraId="62008034" w14:textId="77777777">
        <w:trPr>
          <w:trHeight w:val="193"/>
        </w:trPr>
        <w:tc>
          <w:tcPr>
            <w:tcW w:w="4855" w:type="dxa"/>
            <w:shd w:val="clear" w:color="auto" w:fill="auto"/>
            <w:tcMar/>
            <w:vAlign w:val="center"/>
          </w:tcPr>
          <w:p w:rsidRPr="00802A17" w:rsidR="00F36971" w:rsidP="00837696" w:rsidRDefault="00F36971" w14:paraId="4EDDBAE3" w14:textId="533009FB">
            <w:pPr>
              <w:pStyle w:val="BodyCopy"/>
              <w:jc w:val="left"/>
            </w:pPr>
            <w:r>
              <w:t xml:space="preserve">Outil 19 du kit CEA : </w:t>
            </w:r>
            <w:hyperlink r:id="rId14">
              <w:r>
                <w:rPr>
                  <w:rStyle w:val="Hyperlink"/>
                </w:rPr>
                <w:t>Aperçu des canaux de communication</w:t>
              </w:r>
            </w:hyperlink>
            <w:r>
              <w:rPr>
                <w:rStyle w:val="Hyperlink"/>
              </w:rPr>
              <w:t xml:space="preserve"> </w:t>
            </w:r>
          </w:p>
        </w:tc>
        <w:tc>
          <w:tcPr>
            <w:tcW w:w="5040" w:type="dxa"/>
            <w:shd w:val="clear" w:color="auto" w:fill="auto"/>
            <w:tcMar/>
          </w:tcPr>
          <w:p w:rsidRPr="00802A17" w:rsidR="00F36971" w:rsidP="00837696" w:rsidRDefault="00F36971" w14:paraId="2B5783A4" w14:textId="7B8AFFC4">
            <w:pPr>
              <w:pStyle w:val="BodyCopy"/>
              <w:jc w:val="left"/>
            </w:pPr>
            <w:r>
              <w:t>Fournit des informations détaillées sur une grande variété de canaux d'information, leurs forces et faiblesses, et leurs meilleures utilisations.</w:t>
            </w:r>
          </w:p>
        </w:tc>
      </w:tr>
      <w:tr w:rsidRPr="00802A17" w:rsidR="00F36971" w:rsidTr="1BEEAA00" w14:paraId="0944215B" w14:textId="77777777">
        <w:trPr>
          <w:trHeight w:val="193"/>
        </w:trPr>
        <w:tc>
          <w:tcPr>
            <w:tcW w:w="4855" w:type="dxa"/>
            <w:shd w:val="clear" w:color="auto" w:fill="auto"/>
            <w:tcMar/>
            <w:vAlign w:val="center"/>
          </w:tcPr>
          <w:p w:rsidRPr="00802A17" w:rsidR="00F36971" w:rsidP="00837696" w:rsidRDefault="00F36971" w14:paraId="50AE43FD" w14:textId="231CE03D">
            <w:pPr>
              <w:pStyle w:val="BodyCopy"/>
              <w:jc w:val="left"/>
            </w:pPr>
            <w:r>
              <w:t xml:space="preserve">Outil de retour d’informations 3 : </w:t>
            </w:r>
            <w:hyperlink r:id="rId15">
              <w:r>
                <w:rPr>
                  <w:rStyle w:val="Hyperlink"/>
                </w:rPr>
                <w:t>Définir les canaux de communication pour un mécanisme de retour d'information</w:t>
              </w:r>
            </w:hyperlink>
          </w:p>
        </w:tc>
        <w:tc>
          <w:tcPr>
            <w:tcW w:w="5040" w:type="dxa"/>
            <w:shd w:val="clear" w:color="auto" w:fill="auto"/>
            <w:tcMar/>
          </w:tcPr>
          <w:p w:rsidRPr="00802A17" w:rsidR="00F36971" w:rsidP="00837696" w:rsidRDefault="00F36971" w14:paraId="48732B62" w14:textId="3397138D">
            <w:pPr>
              <w:pStyle w:val="BodyCopy"/>
              <w:jc w:val="left"/>
            </w:pPr>
            <w:r>
              <w:t>Vous guide à travers les étapes de l'engagement de la communauté dans le choix du bon canal de communication</w:t>
            </w:r>
          </w:p>
        </w:tc>
      </w:tr>
      <w:tr w:rsidRPr="00802A17" w:rsidR="00F36971" w:rsidTr="1BEEAA00" w14:paraId="6650C0FC" w14:textId="77777777">
        <w:trPr>
          <w:trHeight w:val="193"/>
        </w:trPr>
        <w:tc>
          <w:tcPr>
            <w:tcW w:w="4855" w:type="dxa"/>
            <w:shd w:val="clear" w:color="auto" w:fill="auto"/>
            <w:tcMar/>
            <w:vAlign w:val="center"/>
          </w:tcPr>
          <w:p w:rsidRPr="00802A17" w:rsidR="00F36971" w:rsidP="00837696" w:rsidRDefault="00F36971" w14:paraId="19CE1B86" w14:textId="45D5D77F">
            <w:pPr>
              <w:pStyle w:val="BodyCopy"/>
              <w:jc w:val="left"/>
              <w:rPr>
                <w:rStyle w:val="Bold"/>
                <w:rFonts w:ascii="Open Sans" w:hAnsi="Open Sans" w:cs="Open Sans"/>
              </w:rPr>
            </w:pPr>
            <w:r>
              <w:t xml:space="preserve">Outil de retour d’informations 4 : </w:t>
            </w:r>
            <w:hyperlink r:id="rId16">
              <w:r>
                <w:rPr>
                  <w:rStyle w:val="Hyperlink"/>
                </w:rPr>
                <w:t>Décider de la manière de documenter les données de retour d'information</w:t>
              </w:r>
            </w:hyperlink>
          </w:p>
        </w:tc>
        <w:tc>
          <w:tcPr>
            <w:tcW w:w="5040" w:type="dxa"/>
            <w:shd w:val="clear" w:color="auto" w:fill="auto"/>
            <w:tcMar/>
          </w:tcPr>
          <w:p w:rsidRPr="00802A17" w:rsidR="00F36971" w:rsidP="00837696" w:rsidRDefault="00F36971" w14:paraId="13029D14" w14:textId="37B903B8">
            <w:pPr>
              <w:pStyle w:val="BodyCopy"/>
              <w:jc w:val="left"/>
            </w:pPr>
            <w:r>
              <w:t>Fournit un outil d'arbre de décision pour vous aider à décider de la manière la plus appropriée de documenter le retour d'information, ainsi que les avantages/inconvénients de chaque approche</w:t>
            </w:r>
          </w:p>
        </w:tc>
      </w:tr>
      <w:tr w:rsidRPr="00802A17" w:rsidR="00F36971" w:rsidTr="1BEEAA00" w14:paraId="74E54480" w14:textId="77777777">
        <w:trPr>
          <w:trHeight w:val="193"/>
        </w:trPr>
        <w:tc>
          <w:tcPr>
            <w:tcW w:w="4855" w:type="dxa"/>
            <w:shd w:val="clear" w:color="auto" w:fill="auto"/>
            <w:tcMar/>
            <w:vAlign w:val="center"/>
          </w:tcPr>
          <w:p w:rsidRPr="00802A17" w:rsidR="00F36971" w:rsidP="00837696" w:rsidRDefault="00F36971" w14:paraId="430870A5" w14:textId="4FD088DA">
            <w:pPr>
              <w:pStyle w:val="BodyCopy"/>
              <w:jc w:val="left"/>
              <w:rPr>
                <w:rStyle w:val="Bold"/>
                <w:rFonts w:ascii="Open Sans" w:hAnsi="Open Sans" w:cs="Open Sans"/>
              </w:rPr>
            </w:pPr>
            <w:r>
              <w:t xml:space="preserve">Outil de retour d’informations 5 : </w:t>
            </w:r>
            <w:hyperlink r:id="rId17">
              <w:r>
                <w:rPr>
                  <w:rStyle w:val="Hyperlink"/>
                </w:rPr>
                <w:t xml:space="preserve">Formulaire de retour d'information de la communauté </w:t>
              </w:r>
            </w:hyperlink>
          </w:p>
        </w:tc>
        <w:tc>
          <w:tcPr>
            <w:tcW w:w="5040" w:type="dxa"/>
            <w:shd w:val="clear" w:color="auto" w:fill="auto"/>
            <w:tcMar/>
          </w:tcPr>
          <w:p w:rsidRPr="00802A17" w:rsidR="00F36971" w:rsidP="00837696" w:rsidRDefault="00F36971" w14:paraId="35D62F67" w14:textId="0E1EF953">
            <w:pPr>
              <w:pStyle w:val="BodyCopy"/>
              <w:jc w:val="left"/>
            </w:pPr>
            <w:r>
              <w:t>Fournit un modèle de document Word pour l'enregistrement des éléments individuels de retour d'information</w:t>
            </w:r>
          </w:p>
        </w:tc>
      </w:tr>
      <w:tr w:rsidRPr="00802A17" w:rsidR="00715FDB" w:rsidTr="1BEEAA00" w14:paraId="5BA5287B" w14:textId="77777777">
        <w:trPr>
          <w:trHeight w:val="193"/>
        </w:trPr>
        <w:tc>
          <w:tcPr>
            <w:tcW w:w="4855" w:type="dxa"/>
            <w:shd w:val="clear" w:color="auto" w:fill="auto"/>
            <w:tcMar/>
            <w:vAlign w:val="center"/>
          </w:tcPr>
          <w:p w:rsidRPr="00802A17" w:rsidR="00715FDB" w:rsidP="00715FDB" w:rsidRDefault="00715FDB" w14:paraId="1A81EAA6" w14:textId="7F74AA4A">
            <w:pPr>
              <w:pStyle w:val="BodyCopy"/>
              <w:jc w:val="left"/>
              <w:rPr>
                <w:rStyle w:val="Bold"/>
                <w:rFonts w:ascii="Open Sans" w:hAnsi="Open Sans" w:cs="Open Sans"/>
              </w:rPr>
            </w:pPr>
            <w:r>
              <w:t xml:space="preserve">Outil de retour d’informations 6 : </w:t>
            </w:r>
            <w:hyperlink w:anchor="gid=469022244" r:id="rId18">
              <w:r>
                <w:rPr>
                  <w:rStyle w:val="Hyperlink"/>
                </w:rPr>
                <w:t xml:space="preserve">Formulaire de retour d'information de la communauté pour </w:t>
              </w:r>
              <w:proofErr w:type="spellStart"/>
              <w:r>
                <w:rPr>
                  <w:rStyle w:val="Hyperlink"/>
                </w:rPr>
                <w:t>KoBo</w:t>
              </w:r>
              <w:proofErr w:type="spellEnd"/>
              <w:r>
                <w:rPr>
                  <w:rStyle w:val="Hyperlink"/>
                </w:rPr>
                <w:t xml:space="preserve"> </w:t>
              </w:r>
              <w:proofErr w:type="spellStart"/>
              <w:r>
                <w:rPr>
                  <w:rStyle w:val="Hyperlink"/>
                </w:rPr>
                <w:t>Collect</w:t>
              </w:r>
              <w:proofErr w:type="spellEnd"/>
              <w:r>
                <w:rPr>
                  <w:rStyle w:val="Hyperlink"/>
                </w:rPr>
                <w:t xml:space="preserve"> </w:t>
              </w:r>
            </w:hyperlink>
            <w:r>
              <w:rPr>
                <w:rStyle w:val="Bold"/>
                <w:rFonts w:ascii="Open Sans" w:hAnsi="Open Sans"/>
              </w:rPr>
              <w:t xml:space="preserve"> </w:t>
            </w:r>
          </w:p>
        </w:tc>
        <w:tc>
          <w:tcPr>
            <w:tcW w:w="5040" w:type="dxa"/>
            <w:shd w:val="clear" w:color="auto" w:fill="auto"/>
            <w:tcMar/>
          </w:tcPr>
          <w:p w:rsidRPr="00802A17" w:rsidR="00715FDB" w:rsidP="00715FDB" w:rsidRDefault="00715FDB" w14:paraId="0513976F" w14:textId="795935E4">
            <w:pPr>
              <w:pStyle w:val="BodyCopy"/>
              <w:jc w:val="left"/>
            </w:pPr>
            <w:r>
              <w:t xml:space="preserve">Fournit un modèle de feuille de calcul Excel pour ceux qui utilisent le logiciel </w:t>
            </w:r>
            <w:proofErr w:type="spellStart"/>
            <w:r>
              <w:t>KoBo</w:t>
            </w:r>
            <w:proofErr w:type="spellEnd"/>
            <w:r>
              <w:t xml:space="preserve"> </w:t>
            </w:r>
            <w:proofErr w:type="spellStart"/>
            <w:r>
              <w:t>collect</w:t>
            </w:r>
            <w:proofErr w:type="spellEnd"/>
            <w:r>
              <w:t xml:space="preserve"> sur un appareil mobile pour recueillir les retours d'information </w:t>
            </w:r>
          </w:p>
        </w:tc>
      </w:tr>
      <w:tr w:rsidRPr="00802A17" w:rsidR="00715FDB" w:rsidTr="1BEEAA00" w14:paraId="1567911A" w14:textId="77777777">
        <w:trPr>
          <w:trHeight w:val="193"/>
        </w:trPr>
        <w:tc>
          <w:tcPr>
            <w:tcW w:w="4855" w:type="dxa"/>
            <w:shd w:val="clear" w:color="auto" w:fill="auto"/>
            <w:tcMar/>
            <w:vAlign w:val="center"/>
          </w:tcPr>
          <w:p w:rsidRPr="00802A17" w:rsidR="00715FDB" w:rsidP="00715FDB" w:rsidRDefault="00715FDB" w14:paraId="6A0EE87F" w14:textId="5976AC54">
            <w:pPr>
              <w:pStyle w:val="BodyCopy"/>
              <w:jc w:val="left"/>
              <w:rPr>
                <w:rStyle w:val="Bold"/>
                <w:rFonts w:ascii="Open Sans" w:hAnsi="Open Sans" w:cs="Open Sans"/>
              </w:rPr>
            </w:pPr>
            <w:r>
              <w:t xml:space="preserve">Outil de retour d’informations 7 : </w:t>
            </w:r>
            <w:hyperlink w:anchor="gid=1261832503" r:id="rId19">
              <w:r>
                <w:rPr>
                  <w:rStyle w:val="Hyperlink"/>
                </w:rPr>
                <w:t xml:space="preserve">Formulaire de retour d'information de la communauté </w:t>
              </w:r>
            </w:hyperlink>
          </w:p>
        </w:tc>
        <w:tc>
          <w:tcPr>
            <w:tcW w:w="5040" w:type="dxa"/>
            <w:shd w:val="clear" w:color="auto" w:fill="auto"/>
            <w:tcMar/>
          </w:tcPr>
          <w:p w:rsidRPr="00802A17" w:rsidR="00715FDB" w:rsidP="00715FDB" w:rsidRDefault="00715FDB" w14:paraId="58FA4CF7" w14:textId="27377DD4">
            <w:pPr>
              <w:pStyle w:val="BodyCopy"/>
              <w:jc w:val="left"/>
            </w:pPr>
            <w:r>
              <w:t>Fournit un modèle de feuille de calcul Excel sur la manière d'enregistrer les retours d'information dans un emplacement central, de façon à pouvoir commencer à les organiser et à les analyser</w:t>
            </w:r>
          </w:p>
        </w:tc>
      </w:tr>
      <w:tr w:rsidRPr="00802A17" w:rsidR="00F36971" w:rsidTr="1BEEAA00" w14:paraId="2C18C9CB" w14:textId="77777777">
        <w:trPr>
          <w:trHeight w:val="193"/>
        </w:trPr>
        <w:tc>
          <w:tcPr>
            <w:tcW w:w="4855" w:type="dxa"/>
            <w:shd w:val="clear" w:color="auto" w:fill="auto"/>
            <w:tcMar/>
            <w:vAlign w:val="center"/>
          </w:tcPr>
          <w:p w:rsidRPr="00802A17" w:rsidR="00F36971" w:rsidP="00837696" w:rsidRDefault="00F36971" w14:paraId="2F1D0B1F" w14:textId="0175BC3C">
            <w:pPr>
              <w:pStyle w:val="BodyCopy"/>
              <w:jc w:val="left"/>
              <w:rPr>
                <w:rStyle w:val="Bold"/>
                <w:rFonts w:ascii="Open Sans" w:hAnsi="Open Sans" w:cs="Open Sans"/>
              </w:rPr>
            </w:pPr>
            <w:r>
              <w:t xml:space="preserve">Outil de retour d’informations 8 </w:t>
            </w:r>
            <w:r>
              <w:rPr>
                <w:rStyle w:val="Hyperlink"/>
                <w:color w:val="auto"/>
                <w:u w:val="none"/>
              </w:rPr>
              <w:t xml:space="preserve">: </w:t>
            </w:r>
            <w:hyperlink r:id="rId20">
              <w:r>
                <w:rPr>
                  <w:rStyle w:val="Hyperlink"/>
                </w:rPr>
                <w:t>Programme de l'atelier de conception</w:t>
              </w:r>
            </w:hyperlink>
          </w:p>
        </w:tc>
        <w:tc>
          <w:tcPr>
            <w:tcW w:w="5040" w:type="dxa"/>
            <w:shd w:val="clear" w:color="auto" w:fill="auto"/>
            <w:tcMar/>
          </w:tcPr>
          <w:p w:rsidRPr="00802A17" w:rsidR="00F36971" w:rsidP="00837696" w:rsidRDefault="00F36971" w14:paraId="084076C3" w14:textId="022485CE">
            <w:pPr>
              <w:pStyle w:val="BodyCopy"/>
              <w:jc w:val="left"/>
            </w:pPr>
            <w:r>
              <w:t>Un programme pour animateur d'ateliers organisations pour les parties prenantes clés pour discuter et se mettre d’accord sur le mécanisme de retour d'information.</w:t>
            </w:r>
          </w:p>
        </w:tc>
      </w:tr>
      <w:tr w:rsidRPr="00802A17" w:rsidR="00F36971" w:rsidTr="1BEEAA00" w14:paraId="066545C4" w14:textId="77777777">
        <w:trPr>
          <w:trHeight w:val="193"/>
        </w:trPr>
        <w:tc>
          <w:tcPr>
            <w:tcW w:w="4855" w:type="dxa"/>
            <w:shd w:val="clear" w:color="auto" w:fill="auto"/>
            <w:tcMar/>
            <w:vAlign w:val="center"/>
          </w:tcPr>
          <w:p w:rsidRPr="00802A17" w:rsidR="00F36971" w:rsidP="00837696" w:rsidRDefault="00F36971" w14:paraId="4E023801" w14:textId="4EDB63BD">
            <w:pPr>
              <w:pStyle w:val="BodyCopy"/>
              <w:jc w:val="left"/>
              <w:rPr>
                <w:rStyle w:val="Bold"/>
                <w:rFonts w:ascii="Open Sans" w:hAnsi="Open Sans" w:cs="Open Sans"/>
              </w:rPr>
            </w:pPr>
            <w:r>
              <w:lastRenderedPageBreak/>
              <w:t xml:space="preserve">Outil de retour d’informations 9 : </w:t>
            </w:r>
            <w:hyperlink r:id="rId21">
              <w:r>
                <w:rPr>
                  <w:rStyle w:val="Hyperlink"/>
                </w:rPr>
                <w:t>Cartographie du flux d'information</w:t>
              </w:r>
            </w:hyperlink>
          </w:p>
        </w:tc>
        <w:tc>
          <w:tcPr>
            <w:tcW w:w="5040" w:type="dxa"/>
            <w:shd w:val="clear" w:color="auto" w:fill="auto"/>
            <w:tcMar/>
          </w:tcPr>
          <w:p w:rsidRPr="00802A17" w:rsidR="00F36971" w:rsidP="00837696" w:rsidRDefault="00F36971" w14:paraId="462B4E3D" w14:textId="57E2F56B">
            <w:pPr>
              <w:pStyle w:val="BodyCopy"/>
              <w:jc w:val="left"/>
            </w:pPr>
            <w:r>
              <w:t>Fournit des conseils sur la façon dont les différents types de retour d'information doivent être traités en interne et des questions pour vous aider à déterminer comment l'information circule et devrait circuler dans votre organisation.</w:t>
            </w:r>
          </w:p>
        </w:tc>
      </w:tr>
      <w:tr w:rsidRPr="00802A17" w:rsidR="00F36971" w:rsidTr="1BEEAA00" w14:paraId="69245926" w14:textId="77777777">
        <w:trPr>
          <w:trHeight w:val="193"/>
        </w:trPr>
        <w:tc>
          <w:tcPr>
            <w:tcW w:w="4855" w:type="dxa"/>
            <w:shd w:val="clear" w:color="auto" w:fill="auto"/>
            <w:tcMar/>
            <w:vAlign w:val="center"/>
          </w:tcPr>
          <w:p w:rsidRPr="00802A17" w:rsidR="00F36971" w:rsidP="00837696" w:rsidRDefault="00F36971" w14:paraId="76322E3E" w14:textId="18FDB206">
            <w:pPr>
              <w:pStyle w:val="BodyCopy"/>
              <w:jc w:val="left"/>
              <w:rPr>
                <w:rStyle w:val="Bold"/>
                <w:rFonts w:ascii="Open Sans" w:hAnsi="Open Sans" w:cs="Open Sans"/>
              </w:rPr>
            </w:pPr>
            <w:r>
              <w:t xml:space="preserve">Outil de retour d’informations 10 : </w:t>
            </w:r>
            <w:hyperlink r:id="rId22">
              <w:r>
                <w:rPr>
                  <w:rStyle w:val="Hyperlink"/>
                </w:rPr>
                <w:t xml:space="preserve">Cartographie et définition des rôles, des responsabilités et des ressources </w:t>
              </w:r>
            </w:hyperlink>
          </w:p>
        </w:tc>
        <w:tc>
          <w:tcPr>
            <w:tcW w:w="5040" w:type="dxa"/>
            <w:shd w:val="clear" w:color="auto" w:fill="auto"/>
            <w:tcMar/>
          </w:tcPr>
          <w:p w:rsidRPr="00802A17" w:rsidR="00F36971" w:rsidP="00837696" w:rsidRDefault="00F36971" w14:paraId="7E24E9A5" w14:textId="31470916">
            <w:pPr>
              <w:pStyle w:val="BodyCopy"/>
              <w:jc w:val="left"/>
            </w:pPr>
            <w:r>
              <w:t>Un document comprenant un tableau à remplir qui vous aidera à réfléchir aux ressources humaines, financières et techniques dont vous aurez besoin à chaque étape du cycle de retour d'information</w:t>
            </w:r>
          </w:p>
        </w:tc>
      </w:tr>
      <w:tr w:rsidRPr="00802A17" w:rsidR="00A32C08" w:rsidTr="1BEEAA00" w14:paraId="766EF1B1" w14:textId="77777777">
        <w:trPr>
          <w:trHeight w:val="193"/>
        </w:trPr>
        <w:tc>
          <w:tcPr>
            <w:tcW w:w="4855" w:type="dxa"/>
            <w:shd w:val="clear" w:color="auto" w:fill="auto"/>
            <w:tcMar/>
          </w:tcPr>
          <w:p w:rsidRPr="00802A17" w:rsidR="00A32C08" w:rsidP="00A32C08" w:rsidRDefault="00D060FD" w14:paraId="3DCE0BA8" w14:textId="1E5AF027">
            <w:pPr>
              <w:pStyle w:val="BodyCopy"/>
              <w:jc w:val="left"/>
            </w:pPr>
            <w:r>
              <w:t xml:space="preserve">Outil de retour d’informations 34 : </w:t>
            </w:r>
            <w:hyperlink w:history="1" r:id="rId23">
              <w:r>
                <w:rPr>
                  <w:rStyle w:val="Hyperlink"/>
                </w:rPr>
                <w:t>Modèle pour définir les points focaux et les services</w:t>
              </w:r>
            </w:hyperlink>
          </w:p>
        </w:tc>
        <w:tc>
          <w:tcPr>
            <w:tcW w:w="5040" w:type="dxa"/>
            <w:shd w:val="clear" w:color="auto" w:fill="auto"/>
            <w:tcMar/>
            <w:vAlign w:val="center"/>
          </w:tcPr>
          <w:p w:rsidRPr="00802A17" w:rsidR="00A32C08" w:rsidP="00A32C08" w:rsidRDefault="00A32C08" w14:paraId="24A2038D" w14:textId="3B97E56B">
            <w:pPr>
              <w:pStyle w:val="BodyCopy"/>
              <w:jc w:val="left"/>
            </w:pPr>
            <w:r>
              <w:t>Ce tableau peut être utilisé pour déterminer tous les contacts pour vos procédures d’orientation.</w:t>
            </w:r>
          </w:p>
        </w:tc>
      </w:tr>
      <w:tr w:rsidRPr="00802A17" w:rsidR="00A32C08" w:rsidTr="1BEEAA00" w14:paraId="5C2458FE" w14:textId="77777777">
        <w:trPr>
          <w:trHeight w:val="193"/>
        </w:trPr>
        <w:tc>
          <w:tcPr>
            <w:tcW w:w="4855" w:type="dxa"/>
            <w:shd w:val="clear" w:color="auto" w:fill="auto"/>
            <w:tcMar/>
            <w:vAlign w:val="center"/>
          </w:tcPr>
          <w:p w:rsidRPr="00802A17" w:rsidR="00A32C08" w:rsidP="00A32C08" w:rsidRDefault="00A32C08" w14:paraId="327CEA89" w14:textId="2E88E3D6">
            <w:pPr>
              <w:pStyle w:val="BodyCopy"/>
              <w:jc w:val="left"/>
              <w:rPr>
                <w:rStyle w:val="Bold"/>
                <w:rFonts w:ascii="Open Sans" w:hAnsi="Open Sans" w:cs="Open Sans"/>
              </w:rPr>
            </w:pPr>
            <w:r>
              <w:t xml:space="preserve">Outil de retour d’informations 11 : </w:t>
            </w:r>
            <w:hyperlink r:id="rId24">
              <w:r>
                <w:rPr>
                  <w:rStyle w:val="Hyperlink"/>
                </w:rPr>
                <w:t>Modèle de budget pour les mécanismes de retour d'information</w:t>
              </w:r>
            </w:hyperlink>
          </w:p>
        </w:tc>
        <w:tc>
          <w:tcPr>
            <w:tcW w:w="5040" w:type="dxa"/>
            <w:shd w:val="clear" w:color="auto" w:fill="auto"/>
            <w:tcMar/>
          </w:tcPr>
          <w:p w:rsidRPr="00802A17" w:rsidR="00A32C08" w:rsidP="00A32C08" w:rsidRDefault="00A32C08" w14:paraId="7D3E5A8A" w14:textId="1B312243">
            <w:pPr>
              <w:pStyle w:val="BodyCopy"/>
              <w:jc w:val="left"/>
            </w:pPr>
            <w:r>
              <w:t>Un modèle qui vous aide à développer un budget détaillé pour un mécanisme de retour d'information</w:t>
            </w:r>
          </w:p>
        </w:tc>
      </w:tr>
      <w:tr w:rsidRPr="00802A17" w:rsidR="00A32C08" w:rsidTr="1BEEAA00" w14:paraId="2818034D" w14:textId="77777777">
        <w:trPr>
          <w:trHeight w:val="193"/>
        </w:trPr>
        <w:tc>
          <w:tcPr>
            <w:tcW w:w="4855" w:type="dxa"/>
            <w:shd w:val="clear" w:color="auto" w:fill="auto"/>
            <w:tcMar/>
            <w:vAlign w:val="center"/>
          </w:tcPr>
          <w:p w:rsidRPr="00802A17" w:rsidR="00A32C08" w:rsidP="00A32C08" w:rsidRDefault="00A32C08" w14:paraId="7976E1A9" w14:textId="48239D28">
            <w:pPr>
              <w:pStyle w:val="BodyCopy"/>
              <w:jc w:val="left"/>
              <w:rPr>
                <w:rStyle w:val="Bold"/>
                <w:rFonts w:ascii="Open Sans" w:hAnsi="Open Sans" w:cs="Open Sans"/>
              </w:rPr>
            </w:pPr>
            <w:r>
              <w:t xml:space="preserve">Outil de retour d’informations 12 : </w:t>
            </w:r>
            <w:hyperlink r:id="rId25">
              <w:r>
                <w:rPr>
                  <w:rStyle w:val="Hyperlink"/>
                </w:rPr>
                <w:t>Kit de formation sur le retour d'information de la communauté</w:t>
              </w:r>
            </w:hyperlink>
          </w:p>
        </w:tc>
        <w:tc>
          <w:tcPr>
            <w:tcW w:w="5040" w:type="dxa"/>
            <w:shd w:val="clear" w:color="auto" w:fill="auto"/>
            <w:tcMar/>
          </w:tcPr>
          <w:p w:rsidRPr="00802A17" w:rsidR="00A32C08" w:rsidP="00A32C08" w:rsidRDefault="00A32C08" w14:paraId="60BC04FB" w14:textId="4A70ADB9">
            <w:pPr>
              <w:pStyle w:val="BodyCopy"/>
              <w:jc w:val="left"/>
            </w:pPr>
            <w:r>
              <w:t>Fournir un modèle d'ordre du jour et des diapositives PowerPoint pour la formation des collecteurs de données et des analystes de données sur les mécanismes de retour d'information de la communauté</w:t>
            </w:r>
          </w:p>
        </w:tc>
      </w:tr>
      <w:tr w:rsidRPr="00802A17" w:rsidR="00D433A6" w:rsidTr="1BEEAA00" w14:paraId="7674A8BB" w14:textId="77777777">
        <w:trPr>
          <w:trHeight w:val="193"/>
        </w:trPr>
        <w:tc>
          <w:tcPr>
            <w:tcW w:w="4855" w:type="dxa"/>
            <w:shd w:val="clear" w:color="auto" w:fill="auto"/>
            <w:tcMar/>
            <w:vAlign w:val="center"/>
          </w:tcPr>
          <w:p w:rsidRPr="00802A17" w:rsidR="00D433A6" w:rsidP="00A32C08" w:rsidRDefault="007F5440" w14:paraId="0A6C199C" w14:textId="5F78F6AC">
            <w:pPr>
              <w:pStyle w:val="BodyCopy"/>
              <w:jc w:val="left"/>
            </w:pPr>
            <w:r>
              <w:t xml:space="preserve">Outil 7 du kit CEA : </w:t>
            </w:r>
            <w:hyperlink w:history="1" r:id="rId26">
              <w:r>
                <w:rPr>
                  <w:rStyle w:val="Hyperlink"/>
                </w:rPr>
                <w:t>Outil de S&amp;E de CEA</w:t>
              </w:r>
            </w:hyperlink>
            <w:r>
              <w:t xml:space="preserve"> </w:t>
            </w:r>
          </w:p>
        </w:tc>
        <w:tc>
          <w:tcPr>
            <w:tcW w:w="5040" w:type="dxa"/>
            <w:shd w:val="clear" w:color="auto" w:fill="auto"/>
            <w:tcMar/>
          </w:tcPr>
          <w:p w:rsidRPr="00802A17" w:rsidR="00D433A6" w:rsidP="00A32C08" w:rsidRDefault="00922067" w14:paraId="701F28FF" w14:textId="61F200DB">
            <w:pPr>
              <w:pStyle w:val="BodyCopy"/>
              <w:jc w:val="left"/>
            </w:pPr>
            <w:r>
              <w:t xml:space="preserve">Un outil complet de S&amp;E pour le CEA, qui comprend des indicateurs, des questions, des moyens de vérification et des cibles suggérées pour le suivi de CEA au niveau institutionnel et au sein des programmes et des opérations d'urgence. Chaque onglet comprend des indicateurs prioritaires et un choix plus large d'options si nécessaire. </w:t>
            </w:r>
          </w:p>
        </w:tc>
      </w:tr>
      <w:tr w:rsidRPr="00802A17" w:rsidR="00A32C08" w:rsidTr="1BEEAA00" w14:paraId="0CDE4F3A" w14:textId="77777777">
        <w:trPr>
          <w:trHeight w:val="193"/>
        </w:trPr>
        <w:tc>
          <w:tcPr>
            <w:tcW w:w="4855" w:type="dxa"/>
            <w:shd w:val="clear" w:color="auto" w:fill="auto"/>
            <w:tcMar/>
            <w:vAlign w:val="bottom"/>
          </w:tcPr>
          <w:p w:rsidRPr="00802A17" w:rsidR="00A32C08" w:rsidP="00A32C08" w:rsidRDefault="00A32C08" w14:paraId="3ACFD656" w14:textId="791FB087">
            <w:pPr>
              <w:pStyle w:val="BodyCopy"/>
              <w:jc w:val="left"/>
            </w:pPr>
            <w:r>
              <w:t xml:space="preserve">Outil de retour d’informations 13 : </w:t>
            </w:r>
            <w:hyperlink w:history="1" r:id="rId27">
              <w:r>
                <w:rPr>
                  <w:rStyle w:val="Hyperlink"/>
                </w:rPr>
                <w:t>Guide d'échantillonnage</w:t>
              </w:r>
            </w:hyperlink>
            <w:r>
              <w:t xml:space="preserve"> </w:t>
            </w:r>
          </w:p>
        </w:tc>
        <w:tc>
          <w:tcPr>
            <w:tcW w:w="5040" w:type="dxa"/>
            <w:shd w:val="clear" w:color="auto" w:fill="auto"/>
            <w:tcMar/>
          </w:tcPr>
          <w:p w:rsidRPr="00802A17" w:rsidR="00A32C08" w:rsidP="00A32C08" w:rsidRDefault="00A32C08" w14:paraId="525E75E9" w14:textId="5451A274">
            <w:pPr>
              <w:pStyle w:val="BodyCopy"/>
              <w:jc w:val="left"/>
            </w:pPr>
            <w:r>
              <w:t>Un document d'orientation court qui peut vous aider à développer votre stratégie d’échantillonnage pour une enquête de perception.</w:t>
            </w:r>
          </w:p>
        </w:tc>
      </w:tr>
      <w:tr w:rsidRPr="00802A17" w:rsidR="00A32C08" w:rsidTr="1BEEAA00" w14:paraId="7EC23161" w14:textId="77777777">
        <w:trPr>
          <w:trHeight w:val="193"/>
        </w:trPr>
        <w:tc>
          <w:tcPr>
            <w:tcW w:w="4855" w:type="dxa"/>
            <w:shd w:val="clear" w:color="auto" w:fill="auto"/>
            <w:tcMar/>
            <w:vAlign w:val="bottom"/>
          </w:tcPr>
          <w:p w:rsidRPr="00802A17" w:rsidR="00A32C08" w:rsidP="00A32C08" w:rsidRDefault="00A32C08" w14:paraId="479226E8" w14:textId="582B8E27">
            <w:pPr>
              <w:pStyle w:val="BodyCopy"/>
            </w:pPr>
            <w:r>
              <w:t xml:space="preserve">Outil de retour d’informations 14 : </w:t>
            </w:r>
            <w:hyperlink w:history="1" r:id="rId28">
              <w:r>
                <w:rPr>
                  <w:rStyle w:val="Hyperlink"/>
                </w:rPr>
                <w:t>Liste de questions des enquêtes de perception</w:t>
              </w:r>
            </w:hyperlink>
          </w:p>
        </w:tc>
        <w:tc>
          <w:tcPr>
            <w:tcW w:w="5040" w:type="dxa"/>
            <w:shd w:val="clear" w:color="auto" w:fill="auto"/>
            <w:tcMar/>
          </w:tcPr>
          <w:p w:rsidRPr="00802A17" w:rsidR="00A32C08" w:rsidP="00A32C08" w:rsidRDefault="00A32C08" w14:paraId="4CEB6D05" w14:textId="4B7C2F02">
            <w:pPr>
              <w:pStyle w:val="BodyCopy"/>
              <w:jc w:val="left"/>
            </w:pPr>
            <w:r>
              <w:t>Un ensemble d’exemples de questions pour les enquêtes de perception.</w:t>
            </w:r>
          </w:p>
        </w:tc>
      </w:tr>
      <w:tr w:rsidRPr="00802A17" w:rsidR="00A32C08" w:rsidTr="1BEEAA00" w14:paraId="189A9698" w14:textId="77777777">
        <w:trPr>
          <w:trHeight w:val="193"/>
        </w:trPr>
        <w:tc>
          <w:tcPr>
            <w:tcW w:w="4855" w:type="dxa"/>
            <w:shd w:val="clear" w:color="auto" w:fill="auto"/>
            <w:tcMar/>
            <w:vAlign w:val="bottom"/>
          </w:tcPr>
          <w:p w:rsidRPr="00802A17" w:rsidR="00A32C08" w:rsidP="00A32C08" w:rsidRDefault="00A32C08" w14:paraId="27CFC3FB" w14:textId="57EFC393">
            <w:pPr>
              <w:pStyle w:val="BodyCopy"/>
              <w:jc w:val="left"/>
            </w:pPr>
            <w:r>
              <w:t xml:space="preserve">Outil de retour d’informations 15 : </w:t>
            </w:r>
            <w:hyperlink w:history="1" r:id="rId29">
              <w:r>
                <w:rPr>
                  <w:rStyle w:val="Hyperlink"/>
                </w:rPr>
                <w:t>Programme de l'atelier pour la conception d'un questionnaire</w:t>
              </w:r>
            </w:hyperlink>
          </w:p>
        </w:tc>
        <w:tc>
          <w:tcPr>
            <w:tcW w:w="5040" w:type="dxa"/>
            <w:shd w:val="clear" w:color="auto" w:fill="auto"/>
            <w:tcMar/>
          </w:tcPr>
          <w:p w:rsidRPr="00802A17" w:rsidR="00A32C08" w:rsidP="00A32C08" w:rsidRDefault="00A32C08" w14:paraId="689E366B" w14:textId="650C5501">
            <w:pPr>
              <w:pStyle w:val="BodyCopy"/>
              <w:jc w:val="left"/>
            </w:pPr>
            <w:r>
              <w:t>Ce modèle de programme vous aide à organiser une réunion avec les parties prenantes clés pour élaborer les bonnes questions pour votre enquête de perception.</w:t>
            </w:r>
          </w:p>
        </w:tc>
      </w:tr>
      <w:tr w:rsidRPr="00802A17" w:rsidR="00A32C08" w:rsidTr="1BEEAA00" w14:paraId="66CD6A6F" w14:textId="77777777">
        <w:trPr>
          <w:trHeight w:val="193"/>
        </w:trPr>
        <w:tc>
          <w:tcPr>
            <w:tcW w:w="4855" w:type="dxa"/>
            <w:shd w:val="clear" w:color="auto" w:fill="auto"/>
            <w:tcMar/>
            <w:vAlign w:val="bottom"/>
          </w:tcPr>
          <w:p w:rsidRPr="00802A17" w:rsidR="00A32C08" w:rsidP="00A32C08" w:rsidRDefault="00A32C08" w14:paraId="7D8FF206" w14:textId="2CB84DC6">
            <w:pPr>
              <w:pStyle w:val="BodyCopy"/>
              <w:jc w:val="left"/>
            </w:pPr>
            <w:r>
              <w:t xml:space="preserve">Outil de retour d’informations 16 : </w:t>
            </w:r>
            <w:hyperlink w:history="1" r:id="rId30">
              <w:r>
                <w:rPr>
                  <w:rStyle w:val="Hyperlink"/>
                </w:rPr>
                <w:t>Guide rapide DGD pour tester les questions</w:t>
              </w:r>
            </w:hyperlink>
          </w:p>
        </w:tc>
        <w:tc>
          <w:tcPr>
            <w:tcW w:w="5040" w:type="dxa"/>
            <w:shd w:val="clear" w:color="auto" w:fill="auto"/>
            <w:tcMar/>
          </w:tcPr>
          <w:p w:rsidRPr="00802A17" w:rsidR="00A32C08" w:rsidP="00A32C08" w:rsidRDefault="00A32C08" w14:paraId="1644C1D9" w14:textId="3B14C45B">
            <w:pPr>
              <w:pStyle w:val="BodyCopy"/>
              <w:jc w:val="left"/>
            </w:pPr>
            <w:r>
              <w:t>Ce guide rapide vous aide à organiser des discussions de groupe dirigées pour tester votre questionnaire vous permettant d'affiner les questions avant de lancer l'enquête.</w:t>
            </w:r>
          </w:p>
        </w:tc>
      </w:tr>
      <w:tr w:rsidRPr="00802A17" w:rsidR="00A32C08" w:rsidTr="1BEEAA00" w14:paraId="6FF50561" w14:textId="77777777">
        <w:trPr>
          <w:trHeight w:val="193"/>
        </w:trPr>
        <w:tc>
          <w:tcPr>
            <w:tcW w:w="4855" w:type="dxa"/>
            <w:shd w:val="clear" w:color="auto" w:fill="auto"/>
            <w:tcMar/>
            <w:vAlign w:val="bottom"/>
          </w:tcPr>
          <w:p w:rsidRPr="00802A17" w:rsidR="00A32C08" w:rsidP="00A32C08" w:rsidRDefault="00A32C08" w14:paraId="7AED4AE6" w14:textId="3E05B1A5">
            <w:pPr>
              <w:pStyle w:val="BodyCopy"/>
              <w:jc w:val="left"/>
            </w:pPr>
            <w:r>
              <w:t xml:space="preserve">Outil de retour d’informations 17 : </w:t>
            </w:r>
            <w:hyperlink w:history="1" r:id="rId31">
              <w:r>
                <w:rPr>
                  <w:rStyle w:val="Hyperlink"/>
                </w:rPr>
                <w:t>Liste de contrôle pour la conception d’enquêtes de perception</w:t>
              </w:r>
            </w:hyperlink>
          </w:p>
        </w:tc>
        <w:tc>
          <w:tcPr>
            <w:tcW w:w="5040" w:type="dxa"/>
            <w:shd w:val="clear" w:color="auto" w:fill="auto"/>
            <w:tcMar/>
          </w:tcPr>
          <w:p w:rsidRPr="00802A17" w:rsidR="00A32C08" w:rsidP="00A32C08" w:rsidRDefault="00A32C08" w14:paraId="7C5F52B6" w14:textId="2AEDBAD7">
            <w:pPr>
              <w:pStyle w:val="BodyCopy"/>
              <w:jc w:val="left"/>
            </w:pPr>
            <w:r>
              <w:t xml:space="preserve">Cette liste vous </w:t>
            </w:r>
            <w:r w:rsidR="00A85A18">
              <w:t>rappelle</w:t>
            </w:r>
            <w:r>
              <w:t xml:space="preserve"> les éléments clés dont il faut tenir compte lors de la conception d'un questionnaire.</w:t>
            </w:r>
          </w:p>
        </w:tc>
      </w:tr>
      <w:tr w:rsidRPr="00802A17" w:rsidR="00A32C08" w:rsidTr="1BEEAA00" w14:paraId="78C90469" w14:textId="77777777">
        <w:trPr>
          <w:trHeight w:val="193"/>
        </w:trPr>
        <w:tc>
          <w:tcPr>
            <w:tcW w:w="9895" w:type="dxa"/>
            <w:gridSpan w:val="2"/>
            <w:shd w:val="clear" w:color="auto" w:fill="943482"/>
            <w:tcMar/>
            <w:vAlign w:val="center"/>
          </w:tcPr>
          <w:p w:rsidRPr="00802A17" w:rsidR="00A32C08" w:rsidP="00A32C08" w:rsidRDefault="00A32C08" w14:paraId="01B7872A" w14:textId="5318CA28">
            <w:pPr>
              <w:pStyle w:val="TableHeader"/>
            </w:pPr>
            <w:r>
              <w:t>ÉTAPE 2 : COLLECTE DES RETOURS D’INFORMATIONS</w:t>
            </w:r>
          </w:p>
        </w:tc>
      </w:tr>
      <w:tr w:rsidRPr="00802A17" w:rsidR="00A32C08" w:rsidTr="1BEEAA00" w14:paraId="30F1862C" w14:textId="77777777">
        <w:trPr>
          <w:trHeight w:val="193"/>
        </w:trPr>
        <w:tc>
          <w:tcPr>
            <w:tcW w:w="4855" w:type="dxa"/>
            <w:shd w:val="clear" w:color="auto" w:fill="EADDEB"/>
            <w:tcMar/>
            <w:vAlign w:val="center"/>
          </w:tcPr>
          <w:p w:rsidRPr="00112255" w:rsidR="00A32C08" w:rsidP="00A32C08" w:rsidRDefault="00A32C08" w14:paraId="52BB2C27" w14:textId="423B7B8C">
            <w:pPr>
              <w:pStyle w:val="BodyCopy"/>
            </w:pPr>
            <w:r>
              <w:rPr>
                <w:b/>
                <w:i/>
              </w:rPr>
              <w:t>Ressources :</w:t>
            </w:r>
          </w:p>
        </w:tc>
        <w:tc>
          <w:tcPr>
            <w:tcW w:w="5040" w:type="dxa"/>
            <w:shd w:val="clear" w:color="auto" w:fill="EADDEB"/>
            <w:tcMar/>
          </w:tcPr>
          <w:p w:rsidRPr="00112255" w:rsidR="00A32C08" w:rsidP="00A32C08" w:rsidRDefault="00A32C08" w14:paraId="7199B63F" w14:textId="7EFF7E9A">
            <w:pPr>
              <w:pStyle w:val="BodyCopy"/>
              <w:rPr>
                <w:b/>
                <w:bCs/>
              </w:rPr>
            </w:pPr>
            <w:r>
              <w:rPr>
                <w:b/>
                <w:i/>
              </w:rPr>
              <w:t>À quoi sert cette ressource ?</w:t>
            </w:r>
          </w:p>
        </w:tc>
      </w:tr>
      <w:tr w:rsidRPr="00802A17" w:rsidR="00A32C08" w:rsidTr="1BEEAA00" w14:paraId="7E2AB6EB" w14:textId="77777777">
        <w:trPr>
          <w:trHeight w:val="193"/>
        </w:trPr>
        <w:tc>
          <w:tcPr>
            <w:tcW w:w="4855" w:type="dxa"/>
            <w:shd w:val="clear" w:color="auto" w:fill="FFFFFF" w:themeFill="background1"/>
            <w:tcMar/>
            <w:vAlign w:val="center"/>
          </w:tcPr>
          <w:p w:rsidRPr="00802A17" w:rsidR="00A32C08" w:rsidP="00A32C08" w:rsidRDefault="00A32C08" w14:paraId="3CB5266B" w14:textId="47457580">
            <w:pPr>
              <w:pStyle w:val="BodyCopy"/>
              <w:rPr>
                <w:rStyle w:val="Bold"/>
              </w:rPr>
            </w:pPr>
            <w:r>
              <w:t xml:space="preserve">Outil de retour d’informations 18 : </w:t>
            </w:r>
            <w:hyperlink r:id="rId32">
              <w:r>
                <w:rPr>
                  <w:rStyle w:val="Hyperlink"/>
                </w:rPr>
                <w:t>Compétences importantes pour une écoute efficace</w:t>
              </w:r>
            </w:hyperlink>
          </w:p>
        </w:tc>
        <w:tc>
          <w:tcPr>
            <w:tcW w:w="5040" w:type="dxa"/>
            <w:shd w:val="clear" w:color="auto" w:fill="FFFFFF" w:themeFill="background1"/>
            <w:tcMar/>
            <w:vAlign w:val="center"/>
          </w:tcPr>
          <w:p w:rsidRPr="00802A17" w:rsidR="00A32C08" w:rsidP="00A32C08" w:rsidRDefault="00A32C08" w14:paraId="0C8FA7F2" w14:textId="7FC5F455">
            <w:pPr>
              <w:pStyle w:val="BodyCopy"/>
            </w:pPr>
            <w:r>
              <w:t>Un document d'orientation contenant les meilleures pratiques sur la manière d'écouter activement et respectueusement le retour d'information de la communauté</w:t>
            </w:r>
          </w:p>
        </w:tc>
      </w:tr>
      <w:tr w:rsidRPr="00802A17" w:rsidR="00A32C08" w:rsidTr="1BEEAA00" w14:paraId="08C138EB" w14:textId="77777777">
        <w:trPr>
          <w:trHeight w:val="193"/>
        </w:trPr>
        <w:tc>
          <w:tcPr>
            <w:tcW w:w="4855" w:type="dxa"/>
            <w:shd w:val="clear" w:color="auto" w:fill="FFFFFF" w:themeFill="background1"/>
            <w:tcMar/>
          </w:tcPr>
          <w:p w:rsidRPr="006C5EFA" w:rsidR="00A32C08" w:rsidP="00A32C08" w:rsidRDefault="00A32C08" w14:paraId="4ACF0C33" w14:textId="7599DBEC">
            <w:pPr>
              <w:pStyle w:val="BodyCopy"/>
            </w:pPr>
            <w:r>
              <w:rPr>
                <w:color w:val="000000"/>
              </w:rPr>
              <w:lastRenderedPageBreak/>
              <w:t xml:space="preserve">Outil de retour d’informations 33 : </w:t>
            </w:r>
            <w:hyperlink w:history="1" r:id="rId33">
              <w:r>
                <w:rPr>
                  <w:rStyle w:val="Hyperlink"/>
                </w:rPr>
                <w:t>Mesures à prendre lors de la réception de retours d'information sensibles</w:t>
              </w:r>
            </w:hyperlink>
          </w:p>
        </w:tc>
        <w:tc>
          <w:tcPr>
            <w:tcW w:w="5040" w:type="dxa"/>
            <w:shd w:val="clear" w:color="auto" w:fill="FFFFFF" w:themeFill="background1"/>
            <w:tcMar/>
            <w:vAlign w:val="center"/>
          </w:tcPr>
          <w:p w:rsidRPr="006C5EFA" w:rsidR="00A32C08" w:rsidP="00A32C08" w:rsidRDefault="00A32C08" w14:paraId="0413DAE5" w14:textId="1DAE23DC">
            <w:pPr>
              <w:pStyle w:val="BodyCopy"/>
            </w:pPr>
            <w:r>
              <w:t>Ce guide étape par étape guide toute personne en contact avec des membres de la communauté pour identifier et transmettre de manière sûre et appropriée un retour d'information sensible.</w:t>
            </w:r>
          </w:p>
        </w:tc>
      </w:tr>
      <w:tr w:rsidRPr="00802A17" w:rsidR="00A32C08" w:rsidTr="1BEEAA00" w14:paraId="37BC5566" w14:textId="77777777">
        <w:trPr>
          <w:trHeight w:val="193"/>
        </w:trPr>
        <w:tc>
          <w:tcPr>
            <w:tcW w:w="9895" w:type="dxa"/>
            <w:gridSpan w:val="2"/>
            <w:shd w:val="clear" w:color="auto" w:fill="943482"/>
            <w:tcMar/>
            <w:vAlign w:val="center"/>
          </w:tcPr>
          <w:p w:rsidRPr="00802A17" w:rsidR="00A32C08" w:rsidP="00A32C08" w:rsidRDefault="00A32C08" w14:paraId="1A011CD8" w14:textId="2BB7A586">
            <w:pPr>
              <w:pStyle w:val="TableHeader"/>
            </w:pPr>
            <w:r w:rsidR="1BEEAA00">
              <w:rPr/>
              <w:t>ÉTAPE 3 : TRANSMISSION DU RETOUR D'INFORMATION ET ANALYSE</w:t>
            </w:r>
          </w:p>
        </w:tc>
      </w:tr>
      <w:tr w:rsidRPr="00802A17" w:rsidR="00A32C08" w:rsidTr="1BEEAA00" w14:paraId="6C0390CA" w14:textId="77777777">
        <w:trPr>
          <w:trHeight w:val="193"/>
        </w:trPr>
        <w:tc>
          <w:tcPr>
            <w:tcW w:w="4855" w:type="dxa"/>
            <w:shd w:val="clear" w:color="auto" w:fill="EADDEB"/>
            <w:tcMar/>
            <w:vAlign w:val="center"/>
          </w:tcPr>
          <w:p w:rsidRPr="00802A17" w:rsidR="00A32C08" w:rsidP="00A32C08" w:rsidRDefault="00A32C08" w14:paraId="4F24F61B" w14:textId="353A3FDE">
            <w:pPr>
              <w:pStyle w:val="BodyCopy"/>
              <w:rPr>
                <w:rStyle w:val="Bold"/>
              </w:rPr>
            </w:pPr>
            <w:r>
              <w:rPr>
                <w:b/>
                <w:i/>
              </w:rPr>
              <w:t>Ressources :</w:t>
            </w:r>
          </w:p>
        </w:tc>
        <w:tc>
          <w:tcPr>
            <w:tcW w:w="5040" w:type="dxa"/>
            <w:shd w:val="clear" w:color="auto" w:fill="EADDEB"/>
            <w:tcMar/>
          </w:tcPr>
          <w:p w:rsidRPr="00802A17" w:rsidR="00A32C08" w:rsidP="00A32C08" w:rsidRDefault="00A32C08" w14:paraId="580251A8" w14:textId="16B0F68D">
            <w:pPr>
              <w:pStyle w:val="BodyCopy"/>
            </w:pPr>
            <w:r>
              <w:rPr>
                <w:b/>
                <w:i/>
              </w:rPr>
              <w:t>À quoi sert cette ressource ?</w:t>
            </w:r>
          </w:p>
        </w:tc>
      </w:tr>
      <w:tr w:rsidRPr="00802A17" w:rsidR="00A32C08" w:rsidTr="1BEEAA00" w14:paraId="7068E056" w14:textId="77777777">
        <w:trPr>
          <w:trHeight w:val="193"/>
        </w:trPr>
        <w:tc>
          <w:tcPr>
            <w:tcW w:w="4855" w:type="dxa"/>
            <w:shd w:val="clear" w:color="auto" w:fill="FFFFFF" w:themeFill="background1"/>
            <w:tcMar/>
            <w:vAlign w:val="bottom"/>
          </w:tcPr>
          <w:p w:rsidRPr="007126EE" w:rsidR="00A32C08" w:rsidP="00A32C08" w:rsidRDefault="00A32C08" w14:paraId="12A2A53A" w14:textId="75C347B2">
            <w:pPr>
              <w:pStyle w:val="BodyCopy"/>
              <w:jc w:val="left"/>
              <w:rPr>
                <w:b/>
                <w:bCs/>
              </w:rPr>
            </w:pPr>
            <w:r>
              <w:t xml:space="preserve">Outil de retour d’informations 19 : </w:t>
            </w:r>
            <w:hyperlink w:history="1" r:id="rId34">
              <w:r>
                <w:rPr>
                  <w:rStyle w:val="Hyperlink"/>
                </w:rPr>
                <w:t xml:space="preserve"> Manières de coder les données de retour d'information </w:t>
              </w:r>
            </w:hyperlink>
          </w:p>
        </w:tc>
        <w:tc>
          <w:tcPr>
            <w:tcW w:w="5040" w:type="dxa"/>
            <w:shd w:val="clear" w:color="auto" w:fill="FFFFFF" w:themeFill="background1"/>
            <w:tcMar/>
          </w:tcPr>
          <w:p w:rsidRPr="007126EE" w:rsidR="00A32C08" w:rsidP="00A32C08" w:rsidRDefault="00A32C08" w14:paraId="04A95D31" w14:textId="5DAA31D6">
            <w:pPr>
              <w:pStyle w:val="BodyCopy"/>
              <w:jc w:val="left"/>
            </w:pPr>
            <w:r>
              <w:t>Fournit une vue d'ensemble des différentes manières de coder les données, des approches manuscrites à celles qui reposent sur des logiciels informatiques, ainsi que les avantages et les inconvénients de chacune d'entre elles</w:t>
            </w:r>
          </w:p>
        </w:tc>
      </w:tr>
      <w:tr w:rsidRPr="00802A17" w:rsidR="00A32C08" w:rsidTr="1BEEAA00" w14:paraId="4B972981" w14:textId="77777777">
        <w:trPr>
          <w:trHeight w:val="193"/>
        </w:trPr>
        <w:tc>
          <w:tcPr>
            <w:tcW w:w="4855" w:type="dxa"/>
            <w:shd w:val="clear" w:color="auto" w:fill="FFFFFF" w:themeFill="background1"/>
            <w:tcMar/>
            <w:vAlign w:val="bottom"/>
          </w:tcPr>
          <w:p w:rsidRPr="007126EE" w:rsidR="00A32C08" w:rsidP="00A32C08" w:rsidRDefault="00A32C08" w14:paraId="027344A6" w14:textId="4AF3D767">
            <w:pPr>
              <w:pStyle w:val="BodyCopy"/>
              <w:jc w:val="left"/>
              <w:rPr>
                <w:b/>
                <w:bCs/>
              </w:rPr>
            </w:pPr>
            <w:r>
              <w:t xml:space="preserve">Outil de retour d’informations 20 : </w:t>
            </w:r>
            <w:hyperlink w:history="1" r:id="rId35">
              <w:r>
                <w:rPr>
                  <w:rStyle w:val="Hyperlink"/>
                </w:rPr>
                <w:t xml:space="preserve">Comment coder les données de retour d'information ouvert </w:t>
              </w:r>
            </w:hyperlink>
          </w:p>
        </w:tc>
        <w:tc>
          <w:tcPr>
            <w:tcW w:w="5040" w:type="dxa"/>
            <w:shd w:val="clear" w:color="auto" w:fill="FFFFFF" w:themeFill="background1"/>
            <w:tcMar/>
          </w:tcPr>
          <w:p w:rsidRPr="007126EE" w:rsidR="00A32C08" w:rsidP="00A32C08" w:rsidRDefault="00A32C08" w14:paraId="1B1D3C18" w14:textId="6546C64B">
            <w:pPr>
              <w:pStyle w:val="BodyCopy"/>
              <w:jc w:val="left"/>
            </w:pPr>
            <w:r>
              <w:t>Fournit un guide étape par étape sur la façon de coder les données de retour d'information, y compris des exemples sur la façon dont cela se présente avec différentes approches de codage (p. ex. le codage par post-it, le codage Excel, etc.)</w:t>
            </w:r>
          </w:p>
        </w:tc>
      </w:tr>
      <w:tr w:rsidRPr="00802A17" w:rsidR="00A32C08" w:rsidTr="1BEEAA00" w14:paraId="5C8B1FD9" w14:textId="77777777">
        <w:trPr>
          <w:trHeight w:val="193"/>
        </w:trPr>
        <w:tc>
          <w:tcPr>
            <w:tcW w:w="4855" w:type="dxa"/>
            <w:shd w:val="clear" w:color="auto" w:fill="FFFFFF" w:themeFill="background1"/>
            <w:tcMar/>
            <w:vAlign w:val="bottom"/>
          </w:tcPr>
          <w:p w:rsidRPr="007126EE" w:rsidR="00A32C08" w:rsidP="00A32C08" w:rsidRDefault="00A32C08" w14:paraId="012020F8" w14:textId="74A6ED4A">
            <w:pPr>
              <w:pStyle w:val="BodyCopy"/>
              <w:jc w:val="left"/>
              <w:rPr>
                <w:b/>
                <w:bCs/>
              </w:rPr>
            </w:pPr>
            <w:r>
              <w:t xml:space="preserve">Outil de retour d’informations 21 : </w:t>
            </w:r>
            <w:hyperlink w:history="1" r:id="rId36">
              <w:r>
                <w:rPr>
                  <w:rStyle w:val="Hyperlink"/>
                </w:rPr>
                <w:t>Comment construire ou adapter un cadre de codage</w:t>
              </w:r>
            </w:hyperlink>
          </w:p>
        </w:tc>
        <w:tc>
          <w:tcPr>
            <w:tcW w:w="5040" w:type="dxa"/>
            <w:shd w:val="clear" w:color="auto" w:fill="FFFFFF" w:themeFill="background1"/>
            <w:tcMar/>
          </w:tcPr>
          <w:p w:rsidRPr="007126EE" w:rsidR="00A32C08" w:rsidP="00A32C08" w:rsidRDefault="00A32C08" w14:paraId="489D7B2C" w14:textId="67320622">
            <w:pPr>
              <w:pStyle w:val="BodyCopy"/>
              <w:jc w:val="left"/>
            </w:pPr>
            <w:r>
              <w:t>Fournit des conseils, étape par étape, sur la manière de construire, d'adapter, de tester, d'affiner et de mettre à jour un cadre de codage pour l'analyse qualitative</w:t>
            </w:r>
          </w:p>
        </w:tc>
      </w:tr>
      <w:tr w:rsidRPr="00802A17" w:rsidR="00A32C08" w:rsidTr="1BEEAA00" w14:paraId="05A7EE5C" w14:textId="77777777">
        <w:trPr>
          <w:trHeight w:val="193"/>
        </w:trPr>
        <w:tc>
          <w:tcPr>
            <w:tcW w:w="4855" w:type="dxa"/>
            <w:shd w:val="clear" w:color="auto" w:fill="FFFFFF" w:themeFill="background1"/>
            <w:tcMar/>
            <w:vAlign w:val="bottom"/>
          </w:tcPr>
          <w:p w:rsidRPr="007126EE" w:rsidR="00A32C08" w:rsidP="00A32C08" w:rsidRDefault="00A32C08" w14:paraId="6051BD78" w14:textId="5ACB9ACC">
            <w:pPr>
              <w:pStyle w:val="BodyCopy"/>
              <w:jc w:val="left"/>
              <w:rPr>
                <w:b/>
                <w:bCs/>
              </w:rPr>
            </w:pPr>
            <w:r>
              <w:t xml:space="preserve">Outil de retour d’informations 22 : </w:t>
            </w:r>
            <w:hyperlink w:history="1" r:id="rId37">
              <w:r>
                <w:rPr>
                  <w:rStyle w:val="Hyperlink"/>
                </w:rPr>
                <w:t>Modèle de cadre de codage et livre de codes</w:t>
              </w:r>
            </w:hyperlink>
          </w:p>
        </w:tc>
        <w:tc>
          <w:tcPr>
            <w:tcW w:w="5040" w:type="dxa"/>
            <w:shd w:val="clear" w:color="auto" w:fill="FFFFFF" w:themeFill="background1"/>
            <w:tcMar/>
          </w:tcPr>
          <w:p w:rsidRPr="007126EE" w:rsidR="00A32C08" w:rsidP="00A32C08" w:rsidRDefault="00A32C08" w14:paraId="3ADE852D" w14:textId="05222CDB">
            <w:pPr>
              <w:pStyle w:val="BodyCopy"/>
              <w:jc w:val="left"/>
            </w:pPr>
            <w:r>
              <w:t>Une feuille Excel qui fournit un modèle de ce à quoi pourrait ressembler un cadre de codage et un livre de codes associé, avec des conseils et des exemples</w:t>
            </w:r>
          </w:p>
        </w:tc>
      </w:tr>
      <w:tr w:rsidRPr="00802A17" w:rsidR="00A32C08" w:rsidTr="1BEEAA00" w14:paraId="1B3E1EFD" w14:textId="77777777">
        <w:trPr>
          <w:trHeight w:val="193"/>
        </w:trPr>
        <w:tc>
          <w:tcPr>
            <w:tcW w:w="4855" w:type="dxa"/>
            <w:shd w:val="clear" w:color="auto" w:fill="FFFFFF" w:themeFill="background1"/>
            <w:tcMar/>
            <w:vAlign w:val="bottom"/>
          </w:tcPr>
          <w:p w:rsidRPr="007126EE" w:rsidR="00A32C08" w:rsidP="00A32C08" w:rsidRDefault="00A32C08" w14:paraId="76C3E787" w14:textId="57B96E40">
            <w:pPr>
              <w:pStyle w:val="BodyCopy"/>
              <w:jc w:val="left"/>
              <w:rPr>
                <w:b/>
                <w:bCs/>
              </w:rPr>
            </w:pPr>
            <w:r>
              <w:t xml:space="preserve">Outil de retour d’informations 23 : </w:t>
            </w:r>
            <w:hyperlink w:history="1" r:id="rId38">
              <w:r>
                <w:rPr>
                  <w:rStyle w:val="Hyperlink"/>
                </w:rPr>
                <w:t>Exemple de cadres de codage</w:t>
              </w:r>
            </w:hyperlink>
          </w:p>
        </w:tc>
        <w:tc>
          <w:tcPr>
            <w:tcW w:w="5040" w:type="dxa"/>
            <w:shd w:val="clear" w:color="auto" w:fill="FFFFFF" w:themeFill="background1"/>
            <w:tcMar/>
          </w:tcPr>
          <w:p w:rsidRPr="007126EE" w:rsidR="00A32C08" w:rsidP="00A32C08" w:rsidRDefault="00A32C08" w14:paraId="54960B58" w14:textId="7D25A2BE">
            <w:pPr>
              <w:pStyle w:val="BodyCopy"/>
              <w:jc w:val="left"/>
            </w:pPr>
            <w:r>
              <w:t>De vrais exemples de cadres de codage qui ont été utilisé</w:t>
            </w:r>
            <w:r w:rsidR="00A85A18">
              <w:t>s</w:t>
            </w:r>
            <w:r>
              <w:t xml:space="preserve"> pour </w:t>
            </w:r>
            <w:proofErr w:type="spellStart"/>
            <w:r>
              <w:t>Ebola</w:t>
            </w:r>
            <w:proofErr w:type="spellEnd"/>
            <w:r>
              <w:t>, COVID-19 et d'autres réponses et peuvent être adaptés</w:t>
            </w:r>
          </w:p>
        </w:tc>
      </w:tr>
      <w:tr w:rsidRPr="00802A17" w:rsidR="00A32C08" w:rsidTr="1BEEAA00" w14:paraId="1C1EDBAA" w14:textId="77777777">
        <w:trPr>
          <w:trHeight w:val="193"/>
        </w:trPr>
        <w:tc>
          <w:tcPr>
            <w:tcW w:w="4855" w:type="dxa"/>
            <w:shd w:val="clear" w:color="auto" w:fill="FFFFFF" w:themeFill="background1"/>
            <w:tcMar/>
            <w:vAlign w:val="bottom"/>
          </w:tcPr>
          <w:p w:rsidRPr="007126EE" w:rsidR="00A32C08" w:rsidP="00A32C08" w:rsidRDefault="00A32C08" w14:paraId="39379897" w14:textId="69CE374E">
            <w:pPr>
              <w:pStyle w:val="BodyCopy"/>
              <w:jc w:val="left"/>
              <w:rPr>
                <w:b/>
                <w:bCs/>
              </w:rPr>
            </w:pPr>
            <w:r>
              <w:t xml:space="preserve">Outil de retour d’informations 24 : </w:t>
            </w:r>
            <w:hyperlink w:history="1" r:id="rId39">
              <w:r>
                <w:rPr>
                  <w:rStyle w:val="Hyperlink"/>
                </w:rPr>
                <w:t>Modèles de graphiques Excel</w:t>
              </w:r>
            </w:hyperlink>
          </w:p>
        </w:tc>
        <w:tc>
          <w:tcPr>
            <w:tcW w:w="5040" w:type="dxa"/>
            <w:shd w:val="clear" w:color="auto" w:fill="FFFFFF" w:themeFill="background1"/>
            <w:tcMar/>
          </w:tcPr>
          <w:p w:rsidRPr="007126EE" w:rsidR="00A32C08" w:rsidP="00A32C08" w:rsidRDefault="00A32C08" w14:paraId="24E5BA0A" w14:textId="03C8D711">
            <w:pPr>
              <w:pStyle w:val="BodyCopy"/>
              <w:jc w:val="left"/>
            </w:pPr>
            <w:r>
              <w:t>Fournit des modèles de graphiques qui peuvent vous aider à visualiser les données des enquêtes de perception</w:t>
            </w:r>
          </w:p>
        </w:tc>
      </w:tr>
      <w:tr w:rsidRPr="00802A17" w:rsidR="00A32C08" w:rsidTr="1BEEAA00" w14:paraId="1393422F" w14:textId="77777777">
        <w:trPr>
          <w:trHeight w:val="193"/>
        </w:trPr>
        <w:tc>
          <w:tcPr>
            <w:tcW w:w="4855" w:type="dxa"/>
            <w:shd w:val="clear" w:color="auto" w:fill="FFFFFF" w:themeFill="background1"/>
            <w:tcMar/>
            <w:vAlign w:val="bottom"/>
          </w:tcPr>
          <w:p w:rsidRPr="00554517" w:rsidR="00A32C08" w:rsidP="00A32C08" w:rsidRDefault="00A32C08" w14:paraId="66DDCDEA" w14:textId="2EF09E0C">
            <w:pPr>
              <w:pStyle w:val="BodyCopy"/>
              <w:jc w:val="left"/>
            </w:pPr>
            <w:r>
              <w:t xml:space="preserve">Outil de retour d’informations 25 : </w:t>
            </w:r>
            <w:hyperlink w:history="1" r:id="rId40">
              <w:r>
                <w:rPr>
                  <w:rStyle w:val="Hyperlink"/>
                </w:rPr>
                <w:t xml:space="preserve">Types et exemples de ventilation des données </w:t>
              </w:r>
            </w:hyperlink>
          </w:p>
        </w:tc>
        <w:tc>
          <w:tcPr>
            <w:tcW w:w="5040" w:type="dxa"/>
            <w:shd w:val="clear" w:color="auto" w:fill="FFFFFF" w:themeFill="background1"/>
            <w:tcMar/>
          </w:tcPr>
          <w:p w:rsidRPr="007126EE" w:rsidR="00A32C08" w:rsidP="00A32C08" w:rsidRDefault="00A32C08" w14:paraId="66317CF2" w14:textId="32822299">
            <w:pPr>
              <w:pStyle w:val="BodyCopy"/>
              <w:jc w:val="left"/>
            </w:pPr>
            <w:r>
              <w:t>Fournit un résumé des catégories les plus courantes pour la ventilation des données, accompagné d'un bref exemple du type d'analyse que chacune d'elles peut produire</w:t>
            </w:r>
          </w:p>
        </w:tc>
      </w:tr>
      <w:tr w:rsidRPr="00802A17" w:rsidR="00A32C08" w:rsidTr="1BEEAA00" w14:paraId="59ECF678" w14:textId="77777777">
        <w:trPr>
          <w:trHeight w:val="193"/>
        </w:trPr>
        <w:tc>
          <w:tcPr>
            <w:tcW w:w="4855" w:type="dxa"/>
            <w:shd w:val="clear" w:color="auto" w:fill="FFFFFF" w:themeFill="background1"/>
            <w:tcMar/>
            <w:vAlign w:val="bottom"/>
          </w:tcPr>
          <w:p w:rsidRPr="00554517" w:rsidR="00A32C08" w:rsidP="00A32C08" w:rsidRDefault="00A32C08" w14:paraId="135EB8A1" w14:textId="6C116640">
            <w:pPr>
              <w:pStyle w:val="BodyCopy"/>
            </w:pPr>
            <w:r>
              <w:t xml:space="preserve">Outil de retour d’informations 26 : </w:t>
            </w:r>
            <w:hyperlink w:history="1" r:id="rId41">
              <w:r>
                <w:rPr>
                  <w:rStyle w:val="Hyperlink"/>
                </w:rPr>
                <w:t>Exemple de cadre analytique pour le retour d'information de la communauté</w:t>
              </w:r>
            </w:hyperlink>
          </w:p>
        </w:tc>
        <w:tc>
          <w:tcPr>
            <w:tcW w:w="5040" w:type="dxa"/>
            <w:shd w:val="clear" w:color="auto" w:fill="FFFFFF" w:themeFill="background1"/>
            <w:tcMar/>
          </w:tcPr>
          <w:p w:rsidRPr="007126EE" w:rsidR="00A32C08" w:rsidP="00A32C08" w:rsidRDefault="00A32C08" w14:paraId="33DDAAC4" w14:textId="27E14EA8">
            <w:pPr>
              <w:pStyle w:val="BodyCopy"/>
              <w:jc w:val="left"/>
            </w:pPr>
            <w:r>
              <w:t>Ce cadre aide à structurer l'analyse de ce que les communautés partagent avec nous et les conversations qui en découlent et nous aide à trianguler ces informations avec d’autres sources de données. On peut l’utiliser à la fois comme analyse de données secondaire</w:t>
            </w:r>
            <w:r w:rsidR="00A85A18">
              <w:t>s</w:t>
            </w:r>
            <w:r>
              <w:t xml:space="preserve"> et aussi pour aider à l’organisation des codes pour le retour d'information de la communauté ouvert et non-structuré.</w:t>
            </w:r>
          </w:p>
        </w:tc>
      </w:tr>
      <w:tr w:rsidRPr="007926F4" w:rsidR="00A32C08" w:rsidTr="1BEEAA00" w14:paraId="30592463" w14:textId="77777777">
        <w:trPr>
          <w:trHeight w:val="193"/>
        </w:trPr>
        <w:tc>
          <w:tcPr>
            <w:tcW w:w="9895" w:type="dxa"/>
            <w:gridSpan w:val="2"/>
            <w:shd w:val="clear" w:color="auto" w:fill="943482"/>
            <w:tcMar/>
            <w:vAlign w:val="center"/>
          </w:tcPr>
          <w:p w:rsidRPr="00802A17" w:rsidR="00A32C08" w:rsidP="00A32C08" w:rsidRDefault="00A32C08" w14:paraId="39ACAC42" w14:textId="5C5A11DD">
            <w:pPr>
              <w:pStyle w:val="TableHeader"/>
            </w:pPr>
            <w:r w:rsidR="1BEEAA00">
              <w:rPr/>
              <w:t>ÉTAPE 4 : PARTAGE ET ACTION AU RETOUR D’INFORMATIONS</w:t>
            </w:r>
          </w:p>
        </w:tc>
      </w:tr>
      <w:tr w:rsidRPr="007926F4" w:rsidR="00A32C08" w:rsidTr="1BEEAA00" w14:paraId="41180AB1" w14:textId="77777777">
        <w:trPr>
          <w:trHeight w:val="193"/>
        </w:trPr>
        <w:tc>
          <w:tcPr>
            <w:tcW w:w="4855" w:type="dxa"/>
            <w:shd w:val="clear" w:color="auto" w:fill="EADDEB"/>
            <w:tcMar/>
            <w:vAlign w:val="center"/>
          </w:tcPr>
          <w:p w:rsidRPr="00802A17" w:rsidR="00A32C08" w:rsidP="00A32C08" w:rsidRDefault="00A32C08" w14:paraId="66D5BD95" w14:textId="77777777">
            <w:pPr>
              <w:pStyle w:val="BodyCopy"/>
              <w:rPr>
                <w:rStyle w:val="Bold"/>
              </w:rPr>
            </w:pPr>
            <w:r>
              <w:rPr>
                <w:b/>
                <w:i/>
              </w:rPr>
              <w:t>Ressources :</w:t>
            </w:r>
          </w:p>
        </w:tc>
        <w:tc>
          <w:tcPr>
            <w:tcW w:w="5040" w:type="dxa"/>
            <w:shd w:val="clear" w:color="auto" w:fill="EADDEB"/>
            <w:tcMar/>
          </w:tcPr>
          <w:p w:rsidRPr="00802A17" w:rsidR="00A32C08" w:rsidP="00A32C08" w:rsidRDefault="00A32C08" w14:paraId="30D6F23E" w14:textId="77777777">
            <w:pPr>
              <w:pStyle w:val="BodyCopy"/>
            </w:pPr>
            <w:r>
              <w:rPr>
                <w:b/>
                <w:i/>
              </w:rPr>
              <w:t>À quoi sert cette ressource ?</w:t>
            </w:r>
          </w:p>
        </w:tc>
      </w:tr>
      <w:tr w:rsidRPr="00802A17" w:rsidR="00A32C08" w:rsidTr="1BEEAA00" w14:paraId="60D09E72" w14:textId="77777777">
        <w:trPr>
          <w:trHeight w:val="193"/>
        </w:trPr>
        <w:tc>
          <w:tcPr>
            <w:tcW w:w="4855" w:type="dxa"/>
            <w:shd w:val="clear" w:color="auto" w:fill="FFFFFF" w:themeFill="background1"/>
            <w:tcMar/>
            <w:vAlign w:val="center"/>
          </w:tcPr>
          <w:p w:rsidRPr="00272201" w:rsidR="00A32C08" w:rsidP="00A32C08" w:rsidRDefault="00A32C08" w14:paraId="72B84E8E" w14:textId="0E76EBF5">
            <w:pPr>
              <w:pStyle w:val="BodyCopy"/>
              <w:jc w:val="left"/>
              <w:rPr>
                <w:rStyle w:val="Hyperlink"/>
              </w:rPr>
            </w:pPr>
            <w:r>
              <w:rPr>
                <w:rStyle w:val="Hyperlink"/>
                <w:color w:val="auto"/>
                <w:u w:val="none"/>
              </w:rPr>
              <w:t xml:space="preserve">Outil de retour d’informations 27 : </w:t>
            </w:r>
            <w:hyperlink r:id="rId42">
              <w:r>
                <w:rPr>
                  <w:rStyle w:val="Hyperlink"/>
                </w:rPr>
                <w:t>Outil permettant d'identifier le meilleur format pour votre public</w:t>
              </w:r>
            </w:hyperlink>
          </w:p>
        </w:tc>
        <w:tc>
          <w:tcPr>
            <w:tcW w:w="5040" w:type="dxa"/>
            <w:shd w:val="clear" w:color="auto" w:fill="FFFFFF" w:themeFill="background1"/>
            <w:tcMar/>
            <w:vAlign w:val="center"/>
          </w:tcPr>
          <w:p w:rsidRPr="007126EE" w:rsidR="00A32C08" w:rsidP="00A32C08" w:rsidRDefault="00A32C08" w14:paraId="23AA8C2F" w14:textId="4D097F17">
            <w:pPr>
              <w:pStyle w:val="BodyCopy"/>
              <w:jc w:val="left"/>
            </w:pPr>
            <w:r>
              <w:t>Comprend un tableau permettant de déterminer qui a besoin de quel type d'information dans quel format, ainsi qu'un arbre de décision pour les types de produits que vous pouvez développer.</w:t>
            </w:r>
          </w:p>
        </w:tc>
      </w:tr>
      <w:tr w:rsidRPr="00802A17" w:rsidR="00A32C08" w:rsidTr="1BEEAA00" w14:paraId="0C61ECFF" w14:textId="77777777">
        <w:trPr>
          <w:trHeight w:val="193"/>
        </w:trPr>
        <w:tc>
          <w:tcPr>
            <w:tcW w:w="4855" w:type="dxa"/>
            <w:shd w:val="clear" w:color="auto" w:fill="FFFFFF" w:themeFill="background1"/>
            <w:tcMar/>
            <w:vAlign w:val="center"/>
          </w:tcPr>
          <w:p w:rsidRPr="00425A5C" w:rsidR="00A32C08" w:rsidP="00A32C08" w:rsidRDefault="00A85A18" w14:paraId="0088C05E" w14:textId="2612E730">
            <w:pPr>
              <w:pStyle w:val="BodyCopy"/>
              <w:jc w:val="left"/>
            </w:pPr>
            <w:hyperlink r:id="rId43">
              <w:r w:rsidR="00A32C08">
                <w:rPr>
                  <w:rStyle w:val="Hyperlink"/>
                </w:rPr>
                <w:t>Outil de retour d’informations 28 :</w:t>
              </w:r>
            </w:hyperlink>
            <w:hyperlink r:id="rId44">
              <w:r w:rsidR="00A32C08">
                <w:rPr>
                  <w:rStyle w:val="Hyperlink"/>
                </w:rPr>
                <w:t xml:space="preserve"> Formats pour partager le retour d'information de la communauté</w:t>
              </w:r>
            </w:hyperlink>
          </w:p>
        </w:tc>
        <w:tc>
          <w:tcPr>
            <w:tcW w:w="5040" w:type="dxa"/>
            <w:shd w:val="clear" w:color="auto" w:fill="FFFFFF" w:themeFill="background1"/>
            <w:tcMar/>
            <w:vAlign w:val="center"/>
          </w:tcPr>
          <w:p w:rsidRPr="007126EE" w:rsidR="00A32C08" w:rsidP="00A32C08" w:rsidRDefault="00A32C08" w14:paraId="1948794B" w14:textId="19719A81">
            <w:pPr>
              <w:pStyle w:val="BodyCopy"/>
              <w:jc w:val="left"/>
            </w:pPr>
            <w:r>
              <w:t>Fournit une vue d'ensemble des différentes façons de partager l'analyse du retour d'information avec les parties prenantes, les avantages et les inconvénients de chacune d'entre elles, et des conseils sur les bonnes pratiques pour chacune d'entre elles.</w:t>
            </w:r>
          </w:p>
        </w:tc>
      </w:tr>
      <w:tr w:rsidRPr="00802A17" w:rsidR="00A32C08" w:rsidTr="1BEEAA00" w14:paraId="0489C1A0" w14:textId="77777777">
        <w:trPr>
          <w:trHeight w:val="193"/>
        </w:trPr>
        <w:tc>
          <w:tcPr>
            <w:tcW w:w="4855" w:type="dxa"/>
            <w:shd w:val="clear" w:color="auto" w:fill="FFFFFF" w:themeFill="background1"/>
            <w:tcMar/>
            <w:vAlign w:val="center"/>
          </w:tcPr>
          <w:p w:rsidRPr="00425A5C" w:rsidR="00A32C08" w:rsidP="00A32C08" w:rsidRDefault="00A32C08" w14:paraId="443A1CC0" w14:textId="5721E21C">
            <w:pPr>
              <w:pStyle w:val="BodyCopy"/>
              <w:jc w:val="left"/>
            </w:pPr>
            <w:r>
              <w:t xml:space="preserve">Outil de retour d’informations 29 : </w:t>
            </w:r>
            <w:hyperlink w:history="1" r:id="rId45">
              <w:r>
                <w:rPr>
                  <w:rStyle w:val="Hyperlink"/>
                </w:rPr>
                <w:t>Considérations clés pour le partage des données de retour d'information de la communauté</w:t>
              </w:r>
            </w:hyperlink>
            <w:r>
              <w:t xml:space="preserve"> </w:t>
            </w:r>
          </w:p>
        </w:tc>
        <w:tc>
          <w:tcPr>
            <w:tcW w:w="5040" w:type="dxa"/>
            <w:shd w:val="clear" w:color="auto" w:fill="FFFFFF" w:themeFill="background1"/>
            <w:tcMar/>
            <w:vAlign w:val="center"/>
          </w:tcPr>
          <w:p w:rsidRPr="007126EE" w:rsidR="00A32C08" w:rsidP="00A32C08" w:rsidRDefault="00A32C08" w14:paraId="046DD4CF" w14:textId="798830D6">
            <w:pPr>
              <w:pStyle w:val="BodyCopy"/>
              <w:jc w:val="left"/>
            </w:pPr>
            <w:r>
              <w:t>Un bref aperçu des éléments principaux à prendre en compte lors du partage de données de retour d'information de la communauté</w:t>
            </w:r>
          </w:p>
        </w:tc>
      </w:tr>
      <w:tr w:rsidRPr="00802A17" w:rsidR="00A32C08" w:rsidTr="1BEEAA00" w14:paraId="4BA15678" w14:textId="77777777">
        <w:trPr>
          <w:trHeight w:val="193"/>
        </w:trPr>
        <w:tc>
          <w:tcPr>
            <w:tcW w:w="4855" w:type="dxa"/>
            <w:shd w:val="clear" w:color="auto" w:fill="FFFFFF" w:themeFill="background1"/>
            <w:tcMar/>
            <w:vAlign w:val="center"/>
          </w:tcPr>
          <w:p w:rsidRPr="00425A5C" w:rsidR="00A32C08" w:rsidP="00A32C08" w:rsidRDefault="00A32C08" w14:paraId="5267D0F1" w14:textId="23AF28A9">
            <w:pPr>
              <w:pStyle w:val="BodyCopy"/>
              <w:jc w:val="left"/>
            </w:pPr>
            <w:r>
              <w:t xml:space="preserve">Outil de retour d’informations 30 : </w:t>
            </w:r>
            <w:hyperlink w:history="1" r:id="rId46">
              <w:r>
                <w:rPr>
                  <w:rStyle w:val="Hyperlink"/>
                </w:rPr>
                <w:t>Partage entre agences ou entre bureaux des points forts du retour d'information de la communauté</w:t>
              </w:r>
            </w:hyperlink>
            <w:r>
              <w:t xml:space="preserve"> </w:t>
            </w:r>
          </w:p>
        </w:tc>
        <w:tc>
          <w:tcPr>
            <w:tcW w:w="5040" w:type="dxa"/>
            <w:shd w:val="clear" w:color="auto" w:fill="FFFFFF" w:themeFill="background1"/>
            <w:tcMar/>
            <w:vAlign w:val="center"/>
          </w:tcPr>
          <w:p w:rsidRPr="007126EE" w:rsidR="00A32C08" w:rsidP="00A32C08" w:rsidRDefault="00A32C08" w14:paraId="73C79B65" w14:textId="6FA552FD">
            <w:pPr>
              <w:pStyle w:val="BodyCopy"/>
              <w:jc w:val="left"/>
            </w:pPr>
            <w:r>
              <w:t>Document Word qui fournit un exemple de questionnaire permettant de recueillir des informations auprès de différentes parties prenantes à l'intérieur ou à l'extérieur de votre organisation sur la manière dont elles collectent les données de retour afin de faciliter le partage de ces données</w:t>
            </w:r>
          </w:p>
        </w:tc>
      </w:tr>
      <w:tr w:rsidRPr="00802A17" w:rsidR="00A32C08" w:rsidTr="1BEEAA00" w14:paraId="5693A50F" w14:textId="77777777">
        <w:trPr>
          <w:trHeight w:val="193"/>
        </w:trPr>
        <w:tc>
          <w:tcPr>
            <w:tcW w:w="4855" w:type="dxa"/>
            <w:shd w:val="clear" w:color="auto" w:fill="FFFFFF" w:themeFill="background1"/>
            <w:tcMar/>
            <w:vAlign w:val="center"/>
          </w:tcPr>
          <w:p w:rsidRPr="00425A5C" w:rsidR="00A32C08" w:rsidP="00A32C08" w:rsidRDefault="00A32C08" w14:paraId="0FAA767E" w14:textId="4DFA3856">
            <w:pPr>
              <w:pStyle w:val="BodyCopy"/>
              <w:jc w:val="left"/>
            </w:pPr>
            <w:r>
              <w:t xml:space="preserve">Outil de retour d’informations 31 : </w:t>
            </w:r>
            <w:hyperlink w:history="1" r:id="rId47">
              <w:r>
                <w:rPr>
                  <w:rStyle w:val="Hyperlink"/>
                </w:rPr>
                <w:t>Développer un plan d'action pour répondre aux retours d'information de la communauté</w:t>
              </w:r>
            </w:hyperlink>
            <w:r>
              <w:t xml:space="preserve"> </w:t>
            </w:r>
          </w:p>
        </w:tc>
        <w:tc>
          <w:tcPr>
            <w:tcW w:w="5040" w:type="dxa"/>
            <w:shd w:val="clear" w:color="auto" w:fill="FFFFFF" w:themeFill="background1"/>
            <w:tcMar/>
            <w:vAlign w:val="center"/>
          </w:tcPr>
          <w:p w:rsidRPr="007126EE" w:rsidR="00A32C08" w:rsidP="00A32C08" w:rsidRDefault="00A32C08" w14:paraId="1990798C" w14:textId="6FCBCC78">
            <w:pPr>
              <w:pStyle w:val="BodyCopy"/>
              <w:jc w:val="left"/>
            </w:pPr>
            <w:r>
              <w:t>Fournit un arbre de décision pour aider à planifier si et comment une action peut être entreprise en réponse à certaines informations de retour</w:t>
            </w:r>
          </w:p>
        </w:tc>
      </w:tr>
      <w:tr w:rsidRPr="00802A17" w:rsidR="00A32C08" w:rsidTr="1BEEAA00" w14:paraId="3F03E454" w14:textId="77777777">
        <w:trPr>
          <w:trHeight w:val="193"/>
        </w:trPr>
        <w:tc>
          <w:tcPr>
            <w:tcW w:w="4855" w:type="dxa"/>
            <w:shd w:val="clear" w:color="auto" w:fill="FFFFFF" w:themeFill="background1"/>
            <w:tcMar/>
            <w:vAlign w:val="center"/>
          </w:tcPr>
          <w:p w:rsidRPr="00425A5C" w:rsidR="00A32C08" w:rsidP="00A32C08" w:rsidRDefault="00A32C08" w14:paraId="72AC4909" w14:textId="5BCED3B3">
            <w:pPr>
              <w:pStyle w:val="BodyCopy"/>
              <w:jc w:val="left"/>
            </w:pPr>
            <w:r>
              <w:t xml:space="preserve">Outil de retour d’informations 32 : </w:t>
            </w:r>
            <w:hyperlink r:id="rId48">
              <w:r>
                <w:rPr>
                  <w:rStyle w:val="Hyperlink"/>
                </w:rPr>
                <w:t xml:space="preserve">Suivi des actions de retour d'information de la communauté </w:t>
              </w:r>
            </w:hyperlink>
          </w:p>
        </w:tc>
        <w:tc>
          <w:tcPr>
            <w:tcW w:w="5040" w:type="dxa"/>
            <w:shd w:val="clear" w:color="auto" w:fill="FFFFFF" w:themeFill="background1"/>
            <w:tcMar/>
            <w:vAlign w:val="center"/>
          </w:tcPr>
          <w:p w:rsidRPr="007126EE" w:rsidR="00A32C08" w:rsidP="00A32C08" w:rsidRDefault="00A32C08" w14:paraId="567AC5D2" w14:textId="7D6234E4">
            <w:pPr>
              <w:pStyle w:val="BodyCopy"/>
              <w:jc w:val="left"/>
            </w:pPr>
            <w:r>
              <w:t>Feuille de calcul Excel qui fournit un modèle permettant à une organisation d'assurer le suivi des mesures qu'elle prend en réponse aux retours d'information de la communauté</w:t>
            </w:r>
          </w:p>
        </w:tc>
      </w:tr>
    </w:tbl>
    <w:p w:rsidRPr="00A85A18" w:rsidR="007F18FE" w:rsidP="00081D99" w:rsidRDefault="00A85A18" w14:paraId="48FA27E0" w14:textId="56B08846">
      <w:pPr>
        <w:pStyle w:val="BodyCopy"/>
      </w:pPr>
    </w:p>
    <w:sectPr w:rsidRPr="00A85A18" w:rsidR="007F18FE" w:rsidSect="00121C14">
      <w:headerReference w:type="default" r:id="rId49"/>
      <w:footerReference w:type="even" r:id="rId50"/>
      <w:footerReference w:type="default" r:id="rId51"/>
      <w:headerReference w:type="first" r:id="rId52"/>
      <w:footerReference w:type="first" r:id="rId53"/>
      <w:pgSz w:w="11906" w:h="16838" w:orient="portrait"/>
      <w:pgMar w:top="1683" w:right="992" w:bottom="1417" w:left="991"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7E18" w:rsidP="00061220" w:rsidRDefault="006C7E18" w14:paraId="2A497940" w14:textId="77777777">
      <w:r>
        <w:separator/>
      </w:r>
    </w:p>
  </w:endnote>
  <w:endnote w:type="continuationSeparator" w:id="0">
    <w:p w:rsidR="006C7E18" w:rsidP="00061220" w:rsidRDefault="006C7E18" w14:paraId="7F61594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altName w:val="ZapfDingbats BT"/>
    <w:charset w:val="02"/>
    <w:family w:val="auto"/>
    <w:pitch w:val="variable"/>
    <w:sig w:usb0="00000000" w:usb1="10000000" w:usb2="00000000" w:usb3="00000000" w:csb0="80000000" w:csb1="00000000"/>
  </w:font>
  <w:font w:name="Helvetica Neue">
    <w:altName w:val="Sylfae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OpenSans-Light">
    <w:altName w:val="Calibri"/>
    <w:panose1 w:val="00000000000000000000"/>
    <w:charset w:val="00"/>
    <w:family w:val="swiss"/>
    <w:notTrueType/>
    <w:pitch w:val="default"/>
    <w:sig w:usb0="00000003" w:usb1="08070000" w:usb2="00000010" w:usb3="00000000" w:csb0="00020001" w:csb1="00000000"/>
  </w:font>
  <w:font w:name="Open Sans">
    <w:charset w:val="00"/>
    <w:family w:val="swiss"/>
    <w:pitch w:val="variable"/>
    <w:sig w:usb0="E00002EF" w:usb1="4000205B" w:usb2="00000028" w:usb3="00000000" w:csb0="0000019F"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EndPr>
      <w:rPr>
        <w:rStyle w:val="PageNumber"/>
      </w:rPr>
    </w:sdtEndPr>
    <w:sdtContent>
      <w:p w:rsidR="00F31BA9" w:rsidP="00CF58BD" w:rsidRDefault="00F31BA9" w14:paraId="595D4639" w14:textId="633B2D6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31BA9" w:rsidP="00F31BA9" w:rsidRDefault="00F31BA9" w14:paraId="53E53E5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CF58BD" w:rsidP="00121C14" w:rsidRDefault="00C15909" w14:paraId="3247E853" w14:textId="1FA8637C">
    <w:pPr>
      <w:pStyle w:val="Footer"/>
      <w:framePr w:w="361" w:h="349" w:wrap="none" w:hAnchor="page" w:vAnchor="text" w:x="11329" w:y="28" w:hRule="exact"/>
      <w:jc w:val="center"/>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19FD3F27" wp14:editId="6E412BD2">
              <wp:simplePos x="0" y="0"/>
              <wp:positionH relativeFrom="page">
                <wp:posOffset>0</wp:posOffset>
              </wp:positionH>
              <wp:positionV relativeFrom="page">
                <wp:posOffset>10227945</wp:posOffset>
              </wp:positionV>
              <wp:extent cx="7560310" cy="273050"/>
              <wp:effectExtent l="0" t="0" r="0" b="12700"/>
              <wp:wrapNone/>
              <wp:docPr id="1" name="MSIPCM693b4b0fa6c1c2704e2d6edf"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C15909" w:rsidR="00C15909" w:rsidP="00C15909" w:rsidRDefault="00C15909" w14:paraId="5F3FE040" w14:textId="77ABBD21">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19FD3F27">
              <v:stroke joinstyle="miter"/>
              <v:path gradientshapeok="t" o:connecttype="rect"/>
            </v:shapetype>
            <v:shape id="MSIPCM693b4b0fa6c1c2704e2d6edf"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v:textbox inset="20pt,0,,0">
                <w:txbxContent>
                  <w:p w:rsidRPr="00C15909" w:rsidR="00C15909" w:rsidP="00C15909" w:rsidRDefault="00C15909" w14:paraId="5F3FE040" w14:textId="77ABBD21">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Pr="00CF58BD" w:rsidR="00CF58BD">
          <w:rPr>
            <w:rStyle w:val="PageNumber"/>
            <w:color w:val="FFFFFF" w:themeColor="background1"/>
          </w:rPr>
          <w:fldChar w:fldCharType="begin"/>
        </w:r>
        <w:r w:rsidRPr="00CF58BD" w:rsidR="00CF58BD">
          <w:rPr>
            <w:rStyle w:val="PageNumber"/>
            <w:color w:val="FFFFFF" w:themeColor="background1"/>
          </w:rPr>
          <w:instrText xml:space="preserve"> PAGE </w:instrText>
        </w:r>
        <w:r w:rsidRPr="00CF58BD" w:rsidR="00CF58BD">
          <w:rPr>
            <w:rStyle w:val="PageNumber"/>
            <w:color w:val="FFFFFF" w:themeColor="background1"/>
          </w:rPr>
          <w:fldChar w:fldCharType="separate"/>
        </w:r>
        <w:r w:rsidRPr="00CF58BD" w:rsidR="00CF58BD">
          <w:rPr>
            <w:rStyle w:val="PageNumber"/>
            <w:color w:val="FFFFFF" w:themeColor="background1"/>
          </w:rPr>
          <w:t>2</w:t>
        </w:r>
        <w:r w:rsidRPr="00CF58BD" w:rsidR="00CF58BD">
          <w:rPr>
            <w:rStyle w:val="PageNumber"/>
            <w:color w:val="FFFFFF" w:themeColor="background1"/>
          </w:rPr>
          <w:fldChar w:fldCharType="end"/>
        </w:r>
      </w:sdtContent>
    </w:sdt>
  </w:p>
  <w:p w:rsidRPr="00266931" w:rsidR="00F31BA9" w:rsidP="00BE306E" w:rsidRDefault="00CF58BD" w14:paraId="2E64E4C6" w14:textId="309A4916">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46A694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10148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rPr>
        <w:rFonts w:ascii="Helvetica Neue Thin" w:hAnsi="Helvetica Neue Thin"/>
        <w:color w:val="943482"/>
        <w:sz w:val="28"/>
      </w:rP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CF58BD" w:rsidP="00CF58BD" w:rsidRDefault="00C15909" w14:paraId="5504EE65" w14:textId="539A15A1">
    <w:pPr>
      <w:pStyle w:val="Footer"/>
      <w:framePr w:wrap="none" w:hAnchor="page" w:vAnchor="text" w:x="11397" w:y="27"/>
      <w:rPr>
        <w:rStyle w:val="PageNumber"/>
      </w:rPr>
    </w:pPr>
    <w:r>
      <w:rPr>
        <w:rFonts w:ascii="Helvetica Neue Medium" w:hAnsi="Helvetica Neue Medium"/>
        <w:noProof/>
      </w:rPr>
      <mc:AlternateContent>
        <mc:Choice Requires="wps">
          <w:drawing>
            <wp:anchor distT="0" distB="0" distL="114300" distR="114300" simplePos="0" relativeHeight="251666432" behindDoc="0" locked="0" layoutInCell="0" allowOverlap="1" wp14:anchorId="593CAFEE" wp14:editId="1A43F1F5">
              <wp:simplePos x="0" y="0"/>
              <wp:positionH relativeFrom="page">
                <wp:posOffset>0</wp:posOffset>
              </wp:positionH>
              <wp:positionV relativeFrom="page">
                <wp:posOffset>10227945</wp:posOffset>
              </wp:positionV>
              <wp:extent cx="7560310" cy="273050"/>
              <wp:effectExtent l="0" t="0" r="0" b="12700"/>
              <wp:wrapNone/>
              <wp:docPr id="2" name="MSIPCMbdac49beaab1586922e797e9"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C15909" w:rsidR="00C15909" w:rsidP="00C15909" w:rsidRDefault="00C15909" w14:paraId="6EEC0C00" w14:textId="53F569E3">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593CAFEE">
              <v:stroke joinstyle="miter"/>
              <v:path gradientshapeok="t" o:connecttype="rect"/>
            </v:shapetype>
            <v:shape id="MSIPCMbdac49beaab1586922e797e9"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841.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v:textbox inset="20pt,0,,0">
                <w:txbxContent>
                  <w:p w:rsidRPr="00C15909" w:rsidR="00C15909" w:rsidP="00C15909" w:rsidRDefault="00C15909" w14:paraId="6EEC0C00" w14:textId="53F569E3">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Pr="00CF58BD" w:rsidR="00CF58BD">
          <w:rPr>
            <w:rStyle w:val="PageNumber"/>
            <w:color w:val="FFFFFF" w:themeColor="background1"/>
          </w:rPr>
          <w:fldChar w:fldCharType="begin"/>
        </w:r>
        <w:r w:rsidRPr="00CF58BD" w:rsidR="00CF58BD">
          <w:rPr>
            <w:rStyle w:val="PageNumber"/>
            <w:color w:val="FFFFFF" w:themeColor="background1"/>
          </w:rPr>
          <w:instrText xml:space="preserve"> PAGE </w:instrText>
        </w:r>
        <w:r w:rsidRPr="00CF58BD" w:rsidR="00CF58BD">
          <w:rPr>
            <w:rStyle w:val="PageNumber"/>
            <w:color w:val="FFFFFF" w:themeColor="background1"/>
          </w:rPr>
          <w:fldChar w:fldCharType="separate"/>
        </w:r>
        <w:r w:rsidRPr="00CF58BD" w:rsidR="00CF58BD">
          <w:rPr>
            <w:rStyle w:val="PageNumber"/>
            <w:color w:val="FFFFFF" w:themeColor="background1"/>
          </w:rPr>
          <w:t>1</w:t>
        </w:r>
        <w:r w:rsidRPr="00CF58BD" w:rsidR="00CF58BD">
          <w:rPr>
            <w:rStyle w:val="PageNumber"/>
            <w:color w:val="FFFFFF" w:themeColor="background1"/>
          </w:rPr>
          <w:fldChar w:fldCharType="end"/>
        </w:r>
      </w:sdtContent>
    </w:sdt>
  </w:p>
  <w:p w:rsidRPr="00266931" w:rsidR="00B34D8B" w:rsidP="00BE306E" w:rsidRDefault="00BE306E" w14:paraId="150F4568" w14:textId="0A50585C">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2F5B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73D68A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rPr>
        <w:rFonts w:ascii="Helvetica Neue Thin" w:hAnsi="Helvetica Neue Thin"/>
        <w:color w:val="943482"/>
        <w:sz w:val="28"/>
      </w:rP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C64CF2" w:rsidR="006C7E18" w:rsidP="00061220" w:rsidRDefault="006C7E18" w14:paraId="33CC17F2" w14:textId="77777777">
      <w:pPr>
        <w:rPr>
          <w:color w:val="873174"/>
        </w:rPr>
      </w:pPr>
      <w:r w:rsidRPr="00C64CF2">
        <w:rPr>
          <w:color w:val="873174"/>
        </w:rPr>
        <w:separator/>
      </w:r>
    </w:p>
  </w:footnote>
  <w:footnote w:type="continuationSeparator" w:id="0">
    <w:p w:rsidR="006C7E18" w:rsidP="00061220" w:rsidRDefault="006C7E18" w14:paraId="456BEE1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1220" w:rsidP="000E3346" w:rsidRDefault="00061220" w14:paraId="33B431C3" w14:textId="06E3563B">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1F122D" w:rsidR="000E3346" w:rsidP="00BE306E" w:rsidRDefault="000E3346" w14:paraId="6782C3D4" w14:textId="44D19670">
    <w:pPr>
      <w:pStyle w:val="TOOLTITLE"/>
      <w:ind w:right="76" w:hanging="426"/>
    </w:pPr>
    <w:r>
      <w:rPr>
        <w:b w:val="0"/>
      </w:rPr>
      <w:drawing>
        <wp:anchor distT="0" distB="0" distL="114300" distR="114300" simplePos="0" relativeHeight="251658240" behindDoc="1" locked="0" layoutInCell="1" allowOverlap="1" wp14:anchorId="7D57DE92" wp14:editId="596A3CF1">
          <wp:simplePos x="0" y="0"/>
          <wp:positionH relativeFrom="page">
            <wp:align>right</wp:align>
          </wp:positionH>
          <wp:positionV relativeFrom="page">
            <wp:align>top</wp:align>
          </wp:positionV>
          <wp:extent cx="10724087" cy="968991"/>
          <wp:effectExtent l="0" t="0" r="1270" b="317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24087" cy="968991"/>
                  </a:xfrm>
                  <a:prstGeom prst="rect">
                    <a:avLst/>
                  </a:prstGeom>
                </pic:spPr>
              </pic:pic>
            </a:graphicData>
          </a:graphic>
          <wp14:sizeRelH relativeFrom="margin">
            <wp14:pctWidth>0</wp14:pctWidth>
          </wp14:sizeRelH>
          <wp14:sizeRelV relativeFrom="margin">
            <wp14:pctHeight>0</wp14:pctHeight>
          </wp14:sizeRelV>
        </wp:anchor>
      </w:drawing>
    </w:r>
    <w:r>
      <w:rPr>
        <w:b w:val="0"/>
      </w:rPr>
      <w:t>KIT DE RETOUR D’INFORMATION DE LA FICR -</w:t>
    </w:r>
    <w:r>
      <w:t xml:space="preserve"> APERÇU DES RESSOURCES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D21ECC"/>
    <w:multiLevelType w:val="hybridMultilevel"/>
    <w:tmpl w:val="0544528E"/>
    <w:lvl w:ilvl="0" w:tplc="45C02E94">
      <w:start w:val="1"/>
      <w:numFmt w:val="bullet"/>
      <w:pStyle w:val="TableBullet"/>
      <w:lvlText w:val=""/>
      <w:lvlJc w:val="left"/>
      <w:pPr>
        <w:ind w:left="796" w:hanging="360"/>
      </w:pPr>
      <w:rPr>
        <w:rFonts w:hint="default" w:ascii="Symbol" w:hAnsi="Symbol" w:cs="Symbol"/>
        <w:color w:val="873174"/>
      </w:rPr>
    </w:lvl>
    <w:lvl w:ilvl="1" w:tplc="040C0003" w:tentative="1">
      <w:start w:val="1"/>
      <w:numFmt w:val="bullet"/>
      <w:lvlText w:val="o"/>
      <w:lvlJc w:val="left"/>
      <w:pPr>
        <w:ind w:left="1516" w:hanging="360"/>
      </w:pPr>
      <w:rPr>
        <w:rFonts w:hint="default" w:ascii="Courier New" w:hAnsi="Courier New" w:cs="Courier New"/>
      </w:rPr>
    </w:lvl>
    <w:lvl w:ilvl="2" w:tplc="040C0005" w:tentative="1">
      <w:start w:val="1"/>
      <w:numFmt w:val="bullet"/>
      <w:lvlText w:val=""/>
      <w:lvlJc w:val="left"/>
      <w:pPr>
        <w:ind w:left="2236" w:hanging="360"/>
      </w:pPr>
      <w:rPr>
        <w:rFonts w:hint="default" w:ascii="Wingdings" w:hAnsi="Wingdings"/>
      </w:rPr>
    </w:lvl>
    <w:lvl w:ilvl="3" w:tplc="040C0001" w:tentative="1">
      <w:start w:val="1"/>
      <w:numFmt w:val="bullet"/>
      <w:lvlText w:val=""/>
      <w:lvlJc w:val="left"/>
      <w:pPr>
        <w:ind w:left="2956" w:hanging="360"/>
      </w:pPr>
      <w:rPr>
        <w:rFonts w:hint="default" w:ascii="Symbol" w:hAnsi="Symbol"/>
      </w:rPr>
    </w:lvl>
    <w:lvl w:ilvl="4" w:tplc="040C0003" w:tentative="1">
      <w:start w:val="1"/>
      <w:numFmt w:val="bullet"/>
      <w:lvlText w:val="o"/>
      <w:lvlJc w:val="left"/>
      <w:pPr>
        <w:ind w:left="3676" w:hanging="360"/>
      </w:pPr>
      <w:rPr>
        <w:rFonts w:hint="default" w:ascii="Courier New" w:hAnsi="Courier New" w:cs="Courier New"/>
      </w:rPr>
    </w:lvl>
    <w:lvl w:ilvl="5" w:tplc="040C0005" w:tentative="1">
      <w:start w:val="1"/>
      <w:numFmt w:val="bullet"/>
      <w:lvlText w:val=""/>
      <w:lvlJc w:val="left"/>
      <w:pPr>
        <w:ind w:left="4396" w:hanging="360"/>
      </w:pPr>
      <w:rPr>
        <w:rFonts w:hint="default" w:ascii="Wingdings" w:hAnsi="Wingdings"/>
      </w:rPr>
    </w:lvl>
    <w:lvl w:ilvl="6" w:tplc="040C0001" w:tentative="1">
      <w:start w:val="1"/>
      <w:numFmt w:val="bullet"/>
      <w:lvlText w:val=""/>
      <w:lvlJc w:val="left"/>
      <w:pPr>
        <w:ind w:left="5116" w:hanging="360"/>
      </w:pPr>
      <w:rPr>
        <w:rFonts w:hint="default" w:ascii="Symbol" w:hAnsi="Symbol"/>
      </w:rPr>
    </w:lvl>
    <w:lvl w:ilvl="7" w:tplc="040C0003" w:tentative="1">
      <w:start w:val="1"/>
      <w:numFmt w:val="bullet"/>
      <w:lvlText w:val="o"/>
      <w:lvlJc w:val="left"/>
      <w:pPr>
        <w:ind w:left="5836" w:hanging="360"/>
      </w:pPr>
      <w:rPr>
        <w:rFonts w:hint="default" w:ascii="Courier New" w:hAnsi="Courier New" w:cs="Courier New"/>
      </w:rPr>
    </w:lvl>
    <w:lvl w:ilvl="8" w:tplc="040C0005" w:tentative="1">
      <w:start w:val="1"/>
      <w:numFmt w:val="bullet"/>
      <w:lvlText w:val=""/>
      <w:lvlJc w:val="left"/>
      <w:pPr>
        <w:ind w:left="6556" w:hanging="360"/>
      </w:pPr>
      <w:rPr>
        <w:rFonts w:hint="default" w:ascii="Wingdings" w:hAnsi="Wingdings"/>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hAnsi="Noto Sans Symbols" w:eastAsia="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hAnsi="Noto Sans Symbols" w:eastAsia="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hint="default" w:ascii="ZapfDingbats BT" w:hAnsi="ZapfDingbats BT" w:cs="ZapfDingbats BT"/>
        <w:color w:val="000000" w:themeColor="text1"/>
      </w:rPr>
    </w:lvl>
    <w:lvl w:ilvl="1" w:tplc="040C0003" w:tentative="1">
      <w:start w:val="1"/>
      <w:numFmt w:val="bullet"/>
      <w:lvlText w:val="o"/>
      <w:lvlJc w:val="left"/>
      <w:pPr>
        <w:ind w:left="1440" w:hanging="360"/>
      </w:pPr>
      <w:rPr>
        <w:rFonts w:hint="default" w:ascii="Courier New" w:hAnsi="Courier New" w:cs="Courier New"/>
      </w:rPr>
    </w:lvl>
    <w:lvl w:ilvl="2" w:tplc="0D4212A8">
      <w:start w:val="1"/>
      <w:numFmt w:val="bullet"/>
      <w:lvlText w:val="o"/>
      <w:lvlJc w:val="left"/>
      <w:pPr>
        <w:ind w:left="2160" w:hanging="360"/>
      </w:pPr>
      <w:rPr>
        <w:rFonts w:hint="default" w:ascii="ZapfDingbats BT" w:hAnsi="ZapfDingbats BT" w:cs="ZapfDingbats BT"/>
        <w:color w:val="000000" w:themeColor="text1"/>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hint="default" w:ascii="Helvetica Neue" w:hAnsi="Helvetica Neue"/>
        <w:b/>
        <w:i w:val="0"/>
        <w:color w:val="873174"/>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5" w15:restartNumberingAfterBreak="0">
    <w:nsid w:val="54225C29"/>
    <w:multiLevelType w:val="hybridMultilevel"/>
    <w:tmpl w:val="8BDA9E7A"/>
    <w:lvl w:ilvl="0" w:tplc="378A25EA">
      <w:start w:val="1"/>
      <w:numFmt w:val="bullet"/>
      <w:pStyle w:val="BulletPoint"/>
      <w:lvlText w:val=""/>
      <w:lvlJc w:val="left"/>
      <w:pPr>
        <w:ind w:left="720" w:hanging="360"/>
      </w:pPr>
      <w:rPr>
        <w:rFonts w:hint="default" w:ascii="Symbol" w:hAnsi="Symbol" w:cs="Symbol"/>
        <w:color w:val="87317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hint="default" w:ascii="Wingdings" w:hAnsi="Wingdings"/>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abstractNum w:abstractNumId="18" w15:restartNumberingAfterBreak="0">
    <w:nsid w:val="7B0A0C26"/>
    <w:multiLevelType w:val="multilevel"/>
    <w:tmpl w:val="896EC014"/>
    <w:styleLink w:val="Listeactuelle1"/>
    <w:lvl w:ilvl="0">
      <w:start w:val="1"/>
      <w:numFmt w:val="bullet"/>
      <w:lvlText w:val=""/>
      <w:lvlJc w:val="left"/>
      <w:pPr>
        <w:ind w:left="720" w:hanging="360"/>
      </w:pPr>
      <w:rPr>
        <w:rFonts w:hint="default" w:ascii="Symbol" w:hAnsi="Symbol" w:cs="Symbol"/>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16cid:durableId="434250342">
    <w:abstractNumId w:val="12"/>
  </w:num>
  <w:num w:numId="2" w16cid:durableId="1749502453">
    <w:abstractNumId w:val="16"/>
  </w:num>
  <w:num w:numId="3" w16cid:durableId="791094872">
    <w:abstractNumId w:val="17"/>
  </w:num>
  <w:num w:numId="4" w16cid:durableId="1049263657">
    <w:abstractNumId w:val="15"/>
  </w:num>
  <w:num w:numId="5" w16cid:durableId="1832719988">
    <w:abstractNumId w:val="18"/>
  </w:num>
  <w:num w:numId="6" w16cid:durableId="1135222680">
    <w:abstractNumId w:val="13"/>
  </w:num>
  <w:num w:numId="7" w16cid:durableId="485128447">
    <w:abstractNumId w:val="14"/>
  </w:num>
  <w:num w:numId="8" w16cid:durableId="465978384">
    <w:abstractNumId w:val="4"/>
  </w:num>
  <w:num w:numId="9" w16cid:durableId="1803158872">
    <w:abstractNumId w:val="5"/>
  </w:num>
  <w:num w:numId="10" w16cid:durableId="1101411824">
    <w:abstractNumId w:val="6"/>
  </w:num>
  <w:num w:numId="11" w16cid:durableId="896431834">
    <w:abstractNumId w:val="7"/>
  </w:num>
  <w:num w:numId="12" w16cid:durableId="913397005">
    <w:abstractNumId w:val="9"/>
  </w:num>
  <w:num w:numId="13" w16cid:durableId="1839997435">
    <w:abstractNumId w:val="0"/>
  </w:num>
  <w:num w:numId="14" w16cid:durableId="1021780264">
    <w:abstractNumId w:val="1"/>
  </w:num>
  <w:num w:numId="15" w16cid:durableId="1478762563">
    <w:abstractNumId w:val="2"/>
  </w:num>
  <w:num w:numId="16" w16cid:durableId="2054189752">
    <w:abstractNumId w:val="3"/>
  </w:num>
  <w:num w:numId="17" w16cid:durableId="1868247763">
    <w:abstractNumId w:val="8"/>
  </w:num>
  <w:num w:numId="18" w16cid:durableId="1072463423">
    <w:abstractNumId w:val="10"/>
  </w:num>
  <w:num w:numId="19" w16cid:durableId="17694262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01119"/>
    <w:rsid w:val="00023F38"/>
    <w:rsid w:val="000532F8"/>
    <w:rsid w:val="00061220"/>
    <w:rsid w:val="00071A8B"/>
    <w:rsid w:val="00081D99"/>
    <w:rsid w:val="000E3346"/>
    <w:rsid w:val="000F7A05"/>
    <w:rsid w:val="00112255"/>
    <w:rsid w:val="00121C14"/>
    <w:rsid w:val="001811C9"/>
    <w:rsid w:val="001831A9"/>
    <w:rsid w:val="001D73D0"/>
    <w:rsid w:val="001F122D"/>
    <w:rsid w:val="00211862"/>
    <w:rsid w:val="0022069E"/>
    <w:rsid w:val="0022707B"/>
    <w:rsid w:val="00266931"/>
    <w:rsid w:val="00272201"/>
    <w:rsid w:val="002B2D8D"/>
    <w:rsid w:val="002B3D99"/>
    <w:rsid w:val="002D4FDA"/>
    <w:rsid w:val="0030145C"/>
    <w:rsid w:val="00305B0F"/>
    <w:rsid w:val="00323450"/>
    <w:rsid w:val="00425A5C"/>
    <w:rsid w:val="00460B71"/>
    <w:rsid w:val="004B4F99"/>
    <w:rsid w:val="004C4C89"/>
    <w:rsid w:val="00543096"/>
    <w:rsid w:val="0055118C"/>
    <w:rsid w:val="0055130F"/>
    <w:rsid w:val="00554517"/>
    <w:rsid w:val="0057554B"/>
    <w:rsid w:val="005A333E"/>
    <w:rsid w:val="005D42F9"/>
    <w:rsid w:val="005F189C"/>
    <w:rsid w:val="00603D71"/>
    <w:rsid w:val="00671E70"/>
    <w:rsid w:val="006B506D"/>
    <w:rsid w:val="006C7E18"/>
    <w:rsid w:val="006D07AD"/>
    <w:rsid w:val="007126EE"/>
    <w:rsid w:val="00715FDB"/>
    <w:rsid w:val="00765849"/>
    <w:rsid w:val="007926F4"/>
    <w:rsid w:val="007C546C"/>
    <w:rsid w:val="007D7E49"/>
    <w:rsid w:val="007F5440"/>
    <w:rsid w:val="00802A17"/>
    <w:rsid w:val="00816604"/>
    <w:rsid w:val="00833C54"/>
    <w:rsid w:val="00837696"/>
    <w:rsid w:val="00844952"/>
    <w:rsid w:val="00871527"/>
    <w:rsid w:val="008A6A3C"/>
    <w:rsid w:val="008D42DD"/>
    <w:rsid w:val="0091601F"/>
    <w:rsid w:val="00916A30"/>
    <w:rsid w:val="00922067"/>
    <w:rsid w:val="0092580D"/>
    <w:rsid w:val="009330A2"/>
    <w:rsid w:val="009A2041"/>
    <w:rsid w:val="009A43A6"/>
    <w:rsid w:val="009D5F9A"/>
    <w:rsid w:val="00A07325"/>
    <w:rsid w:val="00A15074"/>
    <w:rsid w:val="00A32C08"/>
    <w:rsid w:val="00A53836"/>
    <w:rsid w:val="00A553BF"/>
    <w:rsid w:val="00A85A18"/>
    <w:rsid w:val="00AB271A"/>
    <w:rsid w:val="00AB7525"/>
    <w:rsid w:val="00AF53A4"/>
    <w:rsid w:val="00B00FA1"/>
    <w:rsid w:val="00B259C4"/>
    <w:rsid w:val="00B25E1C"/>
    <w:rsid w:val="00B34D8B"/>
    <w:rsid w:val="00B43AA3"/>
    <w:rsid w:val="00B51208"/>
    <w:rsid w:val="00B7301E"/>
    <w:rsid w:val="00B90663"/>
    <w:rsid w:val="00B9698E"/>
    <w:rsid w:val="00BE306E"/>
    <w:rsid w:val="00BF4DD1"/>
    <w:rsid w:val="00BF72FB"/>
    <w:rsid w:val="00C14D1E"/>
    <w:rsid w:val="00C15909"/>
    <w:rsid w:val="00C30C1C"/>
    <w:rsid w:val="00C43EED"/>
    <w:rsid w:val="00C55C80"/>
    <w:rsid w:val="00C64CF2"/>
    <w:rsid w:val="00CA4FCA"/>
    <w:rsid w:val="00CA5CC2"/>
    <w:rsid w:val="00CA774A"/>
    <w:rsid w:val="00CC24BD"/>
    <w:rsid w:val="00CD1F77"/>
    <w:rsid w:val="00CE6B25"/>
    <w:rsid w:val="00CF58BD"/>
    <w:rsid w:val="00D041F5"/>
    <w:rsid w:val="00D060FD"/>
    <w:rsid w:val="00D433A6"/>
    <w:rsid w:val="00D73F92"/>
    <w:rsid w:val="00D84F03"/>
    <w:rsid w:val="00DE61A5"/>
    <w:rsid w:val="00DF3622"/>
    <w:rsid w:val="00E4124D"/>
    <w:rsid w:val="00E52B1F"/>
    <w:rsid w:val="00F13F6B"/>
    <w:rsid w:val="00F20459"/>
    <w:rsid w:val="00F31BA9"/>
    <w:rsid w:val="00F36971"/>
    <w:rsid w:val="00F81892"/>
    <w:rsid w:val="00F83B4E"/>
    <w:rsid w:val="00F93296"/>
    <w:rsid w:val="00FD7811"/>
    <w:rsid w:val="00FE0E26"/>
    <w:rsid w:val="00FE462C"/>
    <w:rsid w:val="00FF5A47"/>
    <w:rsid w:val="1BEEAA0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hAnsi="Helvetica Neue" w:eastAsiaTheme="majorEastAsia" w:cstheme="majorBidi"/>
      <w:b/>
      <w:bCs/>
      <w:caps/>
      <w:color w:val="204669"/>
      <w:sz w:val="32"/>
      <w:szCs w:val="32"/>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styleId="BodyTextChar" w:customStyle="1">
    <w:name w:val="Body Text Char"/>
    <w:basedOn w:val="DefaultParagraphFont"/>
    <w:link w:val="BodyText"/>
    <w:uiPriority w:val="99"/>
    <w:semiHidden/>
    <w:rsid w:val="001D73D0"/>
  </w:style>
  <w:style w:type="character" w:styleId="HeaderChar" w:customStyle="1">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styleId="FooterChar" w:customStyle="1">
    <w:name w:val="Footer Char"/>
    <w:basedOn w:val="DefaultParagraphFont"/>
    <w:link w:val="Footer"/>
    <w:uiPriority w:val="99"/>
    <w:rsid w:val="00061220"/>
  </w:style>
  <w:style w:type="paragraph" w:styleId="TOOLTITLE" w:customStyle="1">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styleId="SubtitleChar" w:customStyle="1">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styleId="Heading1Char" w:customStyle="1">
    <w:name w:val="Heading 1 Char"/>
    <w:basedOn w:val="DefaultParagraphFont"/>
    <w:link w:val="Heading1"/>
    <w:uiPriority w:val="9"/>
    <w:rsid w:val="004B4F99"/>
    <w:rPr>
      <w:rFonts w:ascii="Helvetica Neue" w:hAnsi="Helvetica Neue" w:eastAsiaTheme="majorEastAsia" w:cstheme="majorBidi"/>
      <w:b/>
      <w:bCs/>
      <w:caps/>
      <w:color w:val="204669"/>
      <w:sz w:val="32"/>
      <w:szCs w:val="32"/>
      <w:u w:val="single"/>
    </w:rPr>
  </w:style>
  <w:style w:type="paragraph" w:styleId="H2" w:customStyle="1">
    <w:name w:val="H2"/>
    <w:qFormat/>
    <w:rsid w:val="004B4F99"/>
    <w:rPr>
      <w:rFonts w:ascii="Helvetica Neue Medium" w:hAnsi="Helvetica Neue Medium"/>
      <w:color w:val="873174"/>
    </w:rPr>
  </w:style>
  <w:style w:type="paragraph" w:styleId="H1" w:customStyle="1">
    <w:name w:val="H1"/>
    <w:qFormat/>
    <w:rsid w:val="007D7E49"/>
    <w:rPr>
      <w:rFonts w:ascii="Helvetica Neue" w:hAnsi="Helvetica Neue" w:eastAsiaTheme="majorEastAsia" w:cstheme="majorBidi"/>
      <w:b/>
      <w:bCs/>
      <w:caps/>
      <w:color w:val="204669"/>
      <w:sz w:val="32"/>
      <w:szCs w:val="32"/>
      <w:u w:val="single"/>
    </w:rPr>
  </w:style>
  <w:style w:type="paragraph" w:styleId="H3" w:customStyle="1">
    <w:name w:val="H3"/>
    <w:qFormat/>
    <w:rsid w:val="00916A30"/>
    <w:rPr>
      <w:rFonts w:ascii="Helvetica Neue Medium" w:hAnsi="Helvetica Neue Medium"/>
      <w:color w:val="D7337F"/>
      <w:sz w:val="23"/>
      <w:szCs w:val="23"/>
    </w:rPr>
  </w:style>
  <w:style w:type="paragraph" w:styleId="H4" w:customStyle="1">
    <w:name w:val="H4"/>
    <w:qFormat/>
    <w:rsid w:val="00916A30"/>
    <w:rPr>
      <w:rFonts w:ascii="Helvetica Neue" w:hAnsi="Helvetica Neue"/>
      <w:color w:val="873174"/>
      <w:sz w:val="23"/>
      <w:szCs w:val="23"/>
      <w:u w:val="single"/>
    </w:rPr>
  </w:style>
  <w:style w:type="paragraph" w:styleId="BodyCopy" w:customStyle="1">
    <w:name w:val="Body Copy"/>
    <w:qFormat/>
    <w:rsid w:val="00D84F03"/>
    <w:pPr>
      <w:jc w:val="both"/>
    </w:pPr>
    <w:rPr>
      <w:rFonts w:ascii="Helvetica Neue Light" w:hAnsi="Helvetica Neue Light"/>
      <w:color w:val="000000" w:themeColor="text1"/>
      <w:sz w:val="20"/>
      <w:szCs w:val="20"/>
    </w:rPr>
  </w:style>
  <w:style w:type="paragraph" w:styleId="BulletPoint" w:customStyle="1">
    <w:name w:val="Bullet Point"/>
    <w:basedOn w:val="BodyCopy"/>
    <w:qFormat/>
    <w:rsid w:val="00D84F03"/>
    <w:pPr>
      <w:numPr>
        <w:numId w:val="4"/>
      </w:numPr>
    </w:pPr>
  </w:style>
  <w:style w:type="character" w:styleId="Bold" w:customStyle="1">
    <w:name w:val="Bold"/>
    <w:basedOn w:val="DefaultParagraphFont"/>
    <w:uiPriority w:val="1"/>
    <w:qFormat/>
    <w:rsid w:val="00E52B1F"/>
    <w:rPr>
      <w:rFonts w:ascii="Helvetica Neue" w:hAnsi="Helvetica Neue"/>
      <w:b/>
      <w:bCs/>
    </w:rPr>
  </w:style>
  <w:style w:type="paragraph" w:styleId="BulletNumbers" w:customStyle="1">
    <w:name w:val="Bullet Numbers"/>
    <w:qFormat/>
    <w:rsid w:val="00E52B1F"/>
    <w:pPr>
      <w:numPr>
        <w:numId w:val="6"/>
      </w:numPr>
    </w:pPr>
    <w:rPr>
      <w:rFonts w:ascii="Helvetica Neue Light" w:hAnsi="Helvetica Neue Light"/>
      <w:color w:val="000000" w:themeColor="text1"/>
      <w:sz w:val="20"/>
      <w:szCs w:val="20"/>
    </w:rPr>
  </w:style>
  <w:style w:type="numbering" w:styleId="Listeactuelle1" w:customStyle="1">
    <w:name w:val="Liste actuelle1"/>
    <w:uiPriority w:val="99"/>
    <w:rsid w:val="00E52B1F"/>
    <w:pPr>
      <w:numPr>
        <w:numId w:val="5"/>
      </w:numPr>
    </w:pPr>
  </w:style>
  <w:style w:type="numbering" w:styleId="Listeactuelle2" w:customStyle="1">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styleId="FootnoteTextChar" w:customStyle="1">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Header" w:customStyle="1">
    <w:name w:val="TableHeader"/>
    <w:qFormat/>
    <w:rsid w:val="00A07325"/>
    <w:rPr>
      <w:rFonts w:ascii="Helvetica Neue" w:hAnsi="Helvetica Neue"/>
      <w:b/>
      <w:bCs/>
      <w:color w:val="FFFFFF" w:themeColor="background1"/>
    </w:rPr>
  </w:style>
  <w:style w:type="paragraph" w:styleId="TableBullet" w:customStyle="1">
    <w:name w:val="TableBullet"/>
    <w:qFormat/>
    <w:rsid w:val="00B00FA1"/>
    <w:pPr>
      <w:numPr>
        <w:numId w:val="18"/>
      </w:numPr>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mmunityengagementhub.org/resource/ifrc-feedback-kit" TargetMode="External" Id="rId13" /><Relationship Type="http://schemas.openxmlformats.org/officeDocument/2006/relationships/hyperlink" Target="https://docs.google.com/spreadsheets/d/14VSl2D5XWvmeH3ZXahMbQvWIO1szyPp1/edit" TargetMode="External" Id="rId18" /><Relationship Type="http://schemas.openxmlformats.org/officeDocument/2006/relationships/hyperlink" Target="https://communityengagementhub.org/resource/cea-toolkit/" TargetMode="External" Id="rId26" /><Relationship Type="http://schemas.openxmlformats.org/officeDocument/2006/relationships/hyperlink" Target="https://communityengagementhub.org/resource/ifrc-feedback-kit" TargetMode="External" Id="rId39" /><Relationship Type="http://schemas.openxmlformats.org/officeDocument/2006/relationships/hyperlink" Target="https://docs.google.com/document/d/1Hi34vhZYczoT0HCxMcFvOsudXRv18vGS/edit?rtpof=true" TargetMode="External" Id="rId21" /><Relationship Type="http://schemas.openxmlformats.org/officeDocument/2006/relationships/hyperlink" Target="https://communityengagementhub.org/resource/ifrc-feedback-kit" TargetMode="External" Id="rId34" /><Relationship Type="http://schemas.openxmlformats.org/officeDocument/2006/relationships/hyperlink" Target="https://communityengagementhub.org/resource/ifrc-feedback-kit" TargetMode="External" Id="rId42" /><Relationship Type="http://schemas.openxmlformats.org/officeDocument/2006/relationships/hyperlink" Target="https://communityengagementhub.org/resource/ifrc-feedback-kit" TargetMode="External" Id="rId47" /><Relationship Type="http://schemas.openxmlformats.org/officeDocument/2006/relationships/footer" Target="footer1.xml" Id="rId50" /><Relationship Type="http://schemas.openxmlformats.org/officeDocument/2006/relationships/theme" Target="theme/theme1.xml" Id="rId55"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hyperlink" Target="https://docs.google.com/document/d/1FFn4PdHyS2f8wjbaAl38prRaIq52ttaY/edit" TargetMode="External" Id="rId16" /><Relationship Type="http://schemas.openxmlformats.org/officeDocument/2006/relationships/hyperlink" Target="https://communityengagementhub.org/resource/ifrc-feedback-kit" TargetMode="External" Id="rId29" /><Relationship Type="http://schemas.openxmlformats.org/officeDocument/2006/relationships/hyperlink" Target="https://communityengagementhub.org/resource/community-engagement-and-accountability-zine/" TargetMode="External" Id="rId11" /><Relationship Type="http://schemas.openxmlformats.org/officeDocument/2006/relationships/hyperlink" Target="https://docs.google.com/spreadsheets/d/1HvyrqLmb_4zQX3bhjLZS3uN_DtLPrTbJ/edit?usp=sharing&amp;ouid=109473232721131860036&amp;rtpof=true&amp;sd=true" TargetMode="External" Id="rId24" /><Relationship Type="http://schemas.openxmlformats.org/officeDocument/2006/relationships/hyperlink" Target="https://communityengagementhub.org/resource/ifrc-feedback-kit" TargetMode="External" Id="rId32" /><Relationship Type="http://schemas.openxmlformats.org/officeDocument/2006/relationships/hyperlink" Target="https://communityengagementhub.org/resource/ifrc-feedback-kit" TargetMode="External" Id="rId37" /><Relationship Type="http://schemas.openxmlformats.org/officeDocument/2006/relationships/hyperlink" Target="https://communityengagementhub.org/resource/ifrc-feedback-kit" TargetMode="External" Id="rId40" /><Relationship Type="http://schemas.openxmlformats.org/officeDocument/2006/relationships/hyperlink" Target="https://communityengagementhub.org/resource/ifrc-feedback-kit" TargetMode="External" Id="rId45" /><Relationship Type="http://schemas.openxmlformats.org/officeDocument/2006/relationships/footer" Target="footer3.xml" Id="rId53" /><Relationship Type="http://schemas.openxmlformats.org/officeDocument/2006/relationships/customXml" Target="../customXml/item4.xml" Id="rId58" /><Relationship Type="http://schemas.openxmlformats.org/officeDocument/2006/relationships/webSettings" Target="webSettings.xml" Id="rId5" /><Relationship Type="http://schemas.openxmlformats.org/officeDocument/2006/relationships/hyperlink" Target="https://docs.google.com/spreadsheets/d/1cNpWl0Eraev-FJy0QHakl2qh9VqUYXFw/edit" TargetMode="External" Id="rId19" /><Relationship Type="http://schemas.openxmlformats.org/officeDocument/2006/relationships/settings" Target="settings.xml" Id="rId4" /><Relationship Type="http://schemas.openxmlformats.org/officeDocument/2006/relationships/hyperlink" Target="https://communityengagementhub.org/resource/cea-toolkit/" TargetMode="External" Id="rId9" /><Relationship Type="http://schemas.openxmlformats.org/officeDocument/2006/relationships/hyperlink" Target="https://communityengagementhub.org/wp-content/uploads/sites/2/2020/03/TOOL-19.-Communications-methods-matrix.docx" TargetMode="External" Id="rId14" /><Relationship Type="http://schemas.openxmlformats.org/officeDocument/2006/relationships/hyperlink" Target="https://docs.google.com/document/d/1A9EgUbMkG7ZnNhXIKURw0PaAR-uUoyYu/edit" TargetMode="External" Id="rId22" /><Relationship Type="http://schemas.openxmlformats.org/officeDocument/2006/relationships/hyperlink" Target="https://communityengagementhub.org/resource/ifrc-feedback-kit" TargetMode="External" Id="rId27" /><Relationship Type="http://schemas.openxmlformats.org/officeDocument/2006/relationships/hyperlink" Target="https://communityengagementhub.org/resource/ifrc-feedback-kit" TargetMode="External" Id="rId30" /><Relationship Type="http://schemas.openxmlformats.org/officeDocument/2006/relationships/hyperlink" Target="https://communityengagementhub.org/resource/ifrc-feedback-kit" TargetMode="External" Id="rId35" /><Relationship Type="http://schemas.openxmlformats.org/officeDocument/2006/relationships/hyperlink" Target="https://communityengagementhub.org/resource/ifrc-feedback-kit" TargetMode="External" Id="rId43" /><Relationship Type="http://schemas.openxmlformats.org/officeDocument/2006/relationships/hyperlink" Target="https://communityengagementhub.org/resource/ifrc-feedback-kit" TargetMode="External" Id="rId48" /><Relationship Type="http://schemas.openxmlformats.org/officeDocument/2006/relationships/customXml" Target="../customXml/item2.xml" Id="rId56" /><Relationship Type="http://schemas.openxmlformats.org/officeDocument/2006/relationships/hyperlink" Target="https://docs.google.com/document/d/1HVU8jd1XH9ttTW-ANSlKn6w0383M4w8V?rtpof=true&amp;authuser=evaelisabeth.erlach%40gmail.com&amp;usp=drive_fs" TargetMode="External" Id="rId8" /><Relationship Type="http://schemas.openxmlformats.org/officeDocument/2006/relationships/footer" Target="footer2.xml" Id="rId51" /><Relationship Type="http://schemas.openxmlformats.org/officeDocument/2006/relationships/styles" Target="styles.xml" Id="rId3" /><Relationship Type="http://schemas.openxmlformats.org/officeDocument/2006/relationships/hyperlink" Target="https://communityengagementhub.org/resource/community-engagement-and-accountability-zine/" TargetMode="External" Id="rId12" /><Relationship Type="http://schemas.openxmlformats.org/officeDocument/2006/relationships/hyperlink" Target="https://docs.google.com/document/d/1qY61yuvN4qjHPyu8sniWmkMDeB9a6mdT/edit" TargetMode="External" Id="rId17" /><Relationship Type="http://schemas.openxmlformats.org/officeDocument/2006/relationships/hyperlink" Target="https://drive.google.com/drive/folders/1IDKWKoRS_LqRVJvWejO0vrZy8fORGnCv" TargetMode="External" Id="rId25" /><Relationship Type="http://schemas.openxmlformats.org/officeDocument/2006/relationships/hyperlink" Target="https://communityengagementhub.org/resource/ifrc-feedback-kit" TargetMode="External" Id="rId33" /><Relationship Type="http://schemas.openxmlformats.org/officeDocument/2006/relationships/hyperlink" Target="https://communityengagementhub.org/resource/ifrc-feedback-kit" TargetMode="External" Id="rId38" /><Relationship Type="http://schemas.openxmlformats.org/officeDocument/2006/relationships/hyperlink" Target="https://communityengagementhub.org/resource/ifrc-feedback-kit" TargetMode="External" Id="rId46" /><Relationship Type="http://schemas.openxmlformats.org/officeDocument/2006/relationships/hyperlink" Target="https://docs.google.com/document/d/1HdalJ_drE4COToyi4R5ZEKHqShjV0Iq2/edit?usp=sharing&amp;ouid=109473232721131860036&amp;rtpof=true&amp;sd=true" TargetMode="External" Id="rId20" /><Relationship Type="http://schemas.openxmlformats.org/officeDocument/2006/relationships/hyperlink" Target="https://communityengagementhub.org/resource/ifrc-feedback-kit" TargetMode="External" Id="rId41" /><Relationship Type="http://schemas.openxmlformats.org/officeDocument/2006/relationships/fontTable" Target="fontTable.xml" Id="rId54"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docs.google.com/document/d/1Hp2nQTRcTAXDyhVeKvyxqlCmjVxY3xq4/edit?rtpof=true" TargetMode="External" Id="rId15" /><Relationship Type="http://schemas.openxmlformats.org/officeDocument/2006/relationships/hyperlink" Target="https://communityengagementhub.org/resource/ifrc-feedback-kit" TargetMode="External" Id="rId23" /><Relationship Type="http://schemas.openxmlformats.org/officeDocument/2006/relationships/hyperlink" Target="https://communityengagementhub.org/resource/ifrc-feedback-kit" TargetMode="External" Id="rId28" /><Relationship Type="http://schemas.openxmlformats.org/officeDocument/2006/relationships/hyperlink" Target="https://communityengagementhub.org/resource/ifrc-feedback-kit" TargetMode="External" Id="rId36" /><Relationship Type="http://schemas.openxmlformats.org/officeDocument/2006/relationships/header" Target="header1.xml" Id="rId49" /><Relationship Type="http://schemas.openxmlformats.org/officeDocument/2006/relationships/customXml" Target="../customXml/item3.xml" Id="rId57" /><Relationship Type="http://schemas.openxmlformats.org/officeDocument/2006/relationships/hyperlink" Target="https://communityengagementhub.org/resource/community-engagement-and-accountability-zine/" TargetMode="External" Id="rId10" /><Relationship Type="http://schemas.openxmlformats.org/officeDocument/2006/relationships/hyperlink" Target="https://communityengagementhub.org/resource/ifrc-feedback-kit" TargetMode="External" Id="rId31" /><Relationship Type="http://schemas.openxmlformats.org/officeDocument/2006/relationships/hyperlink" Target="https://communityengagementhub.org/resource/ifrc-feedback-kit" TargetMode="External" Id="rId44" /><Relationship Type="http://schemas.openxmlformats.org/officeDocument/2006/relationships/header" Target="header2.xml" Id="rId5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2.xml><?xml version="1.0" encoding="utf-8"?>
<ds:datastoreItem xmlns:ds="http://schemas.openxmlformats.org/officeDocument/2006/customXml" ds:itemID="{15CC98F3-2DF4-42D6-9E5C-0D36E3DBDA7C}"/>
</file>

<file path=customXml/itemProps3.xml><?xml version="1.0" encoding="utf-8"?>
<ds:datastoreItem xmlns:ds="http://schemas.openxmlformats.org/officeDocument/2006/customXml" ds:itemID="{733DF41B-BE6E-4186-BF2E-9293C5D3F889}"/>
</file>

<file path=customXml/itemProps4.xml><?xml version="1.0" encoding="utf-8"?>
<ds:datastoreItem xmlns:ds="http://schemas.openxmlformats.org/officeDocument/2006/customXml" ds:itemID="{1937461C-72D7-499D-97B9-92B2CFB78E2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Utilisateur invité</cp:lastModifiedBy>
  <cp:revision>2</cp:revision>
  <dcterms:created xsi:type="dcterms:W3CDTF">2023-04-06T15:15:00Z</dcterms:created>
  <dcterms:modified xsi:type="dcterms:W3CDTF">2023-12-04T05:26:27Z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MediaServiceImageTags">
    <vt:lpwstr/>
  </property>
</Properties>
</file>