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C1CA" w14:textId="77777777" w:rsidR="00AD751C" w:rsidRDefault="00AD751C" w:rsidP="00A62E70">
      <w:pPr>
        <w:pStyle w:val="BodyCopy"/>
        <w:rPr>
          <w:sz w:val="22"/>
          <w:szCs w:val="22"/>
          <w:lang w:val="en-GB"/>
        </w:rPr>
      </w:pPr>
    </w:p>
    <w:p w14:paraId="0659C566" w14:textId="1A9192A0" w:rsidR="00A62E70" w:rsidRPr="007261E7" w:rsidRDefault="00A62E70" w:rsidP="00A62E70">
      <w:pPr>
        <w:pStyle w:val="BodyCopy"/>
        <w:rPr>
          <w:sz w:val="22"/>
          <w:szCs w:val="22"/>
          <w:lang w:val="en-GB"/>
        </w:rPr>
      </w:pPr>
      <w:r w:rsidRPr="007261E7">
        <w:rPr>
          <w:sz w:val="22"/>
          <w:szCs w:val="22"/>
          <w:lang w:val="en-GB"/>
        </w:rPr>
        <w:t>Without the support from the leadership of your organisation and the programme or operation you are supporting, it will be difficult, if not impossible, to ensure your feedback mechanism will be effective. You won’t have the staffing and resources you need, nor will there be consequences if nobody acts on the feedback. We know that a feedback mechanism can only be effective if feedback is discussed, decisions on if and how to act are taken, and the loop is closed with the communities. Collecting information without addressing it sets communities up for disappointment and can even escalate to security issues due to communities’ frustrations.</w:t>
      </w:r>
    </w:p>
    <w:p w14:paraId="3CF69B05" w14:textId="77777777" w:rsidR="00A62E70" w:rsidRPr="007261E7" w:rsidRDefault="00A62E70" w:rsidP="00A62E70">
      <w:pPr>
        <w:pStyle w:val="BodyCopy"/>
        <w:rPr>
          <w:sz w:val="22"/>
          <w:szCs w:val="22"/>
          <w:lang w:val="en-GB"/>
        </w:rPr>
      </w:pPr>
    </w:p>
    <w:p w14:paraId="189DA76B" w14:textId="5BA5D4CC" w:rsidR="009917EA" w:rsidRPr="007261E7" w:rsidRDefault="00A62E70" w:rsidP="00A62E70">
      <w:pPr>
        <w:pStyle w:val="BodyCopy"/>
        <w:rPr>
          <w:sz w:val="22"/>
          <w:szCs w:val="22"/>
          <w:lang w:val="en-GB"/>
        </w:rPr>
      </w:pPr>
      <w:r w:rsidRPr="007261E7">
        <w:rPr>
          <w:sz w:val="22"/>
          <w:szCs w:val="22"/>
          <w:lang w:val="en-GB"/>
        </w:rPr>
        <w:t>But how do we achieve the buy-in? Below you can find some practical tips that can help you approach and win over the leaders of your organization and make them advocates for community feedback mechanisms.</w:t>
      </w:r>
    </w:p>
    <w:p w14:paraId="0D2EA8D9" w14:textId="77777777" w:rsidR="009917EA" w:rsidRPr="007261E7" w:rsidRDefault="009917EA" w:rsidP="00071A8B">
      <w:pPr>
        <w:pStyle w:val="H1"/>
        <w:rPr>
          <w:lang w:val="en-GB"/>
        </w:rPr>
      </w:pPr>
    </w:p>
    <w:p w14:paraId="55280A67" w14:textId="77777777" w:rsidR="003F38BC" w:rsidRPr="007261E7" w:rsidRDefault="003F38BC" w:rsidP="00AE7C26">
      <w:pPr>
        <w:pStyle w:val="H2"/>
        <w:numPr>
          <w:ilvl w:val="0"/>
          <w:numId w:val="24"/>
        </w:numPr>
        <w:spacing w:before="240"/>
        <w:ind w:left="270" w:hanging="270"/>
        <w:rPr>
          <w:lang w:val="en-GB"/>
        </w:rPr>
      </w:pPr>
      <w:r w:rsidRPr="007261E7">
        <w:rPr>
          <w:lang w:val="en-GB"/>
        </w:rPr>
        <w:t>SPEAK THEIR LANGUAGE</w:t>
      </w:r>
    </w:p>
    <w:p w14:paraId="7C23FF06" w14:textId="77777777" w:rsidR="003F38BC" w:rsidRPr="007261E7" w:rsidRDefault="003F38BC" w:rsidP="000576AE">
      <w:pPr>
        <w:pStyle w:val="BulletPoint"/>
        <w:rPr>
          <w:sz w:val="22"/>
          <w:szCs w:val="22"/>
          <w:lang w:val="en-GB"/>
        </w:rPr>
      </w:pPr>
      <w:r w:rsidRPr="007261E7">
        <w:rPr>
          <w:b/>
          <w:color w:val="D7337F"/>
          <w:sz w:val="22"/>
          <w:szCs w:val="22"/>
          <w:lang w:val="en-GB"/>
        </w:rPr>
        <w:t>Avoid using jargon</w:t>
      </w:r>
      <w:r w:rsidRPr="007261E7">
        <w:rPr>
          <w:color w:val="D7337F"/>
          <w:sz w:val="22"/>
          <w:szCs w:val="22"/>
          <w:lang w:val="en-GB"/>
        </w:rPr>
        <w:t> </w:t>
      </w:r>
      <w:r w:rsidRPr="007261E7">
        <w:rPr>
          <w:sz w:val="22"/>
          <w:szCs w:val="22"/>
          <w:lang w:val="en-GB"/>
        </w:rPr>
        <w:t>– "CEA", "AAP", "Closing the loop" etc. might not mean much to leaders.</w:t>
      </w:r>
    </w:p>
    <w:p w14:paraId="0BFB967F" w14:textId="77777777" w:rsidR="003F38BC" w:rsidRPr="007261E7" w:rsidRDefault="003F38BC" w:rsidP="000576AE">
      <w:pPr>
        <w:pStyle w:val="BulletPoint"/>
        <w:rPr>
          <w:sz w:val="22"/>
          <w:szCs w:val="22"/>
          <w:lang w:val="en-GB"/>
        </w:rPr>
      </w:pPr>
      <w:r w:rsidRPr="007261E7">
        <w:rPr>
          <w:b/>
          <w:color w:val="D7337F"/>
          <w:sz w:val="22"/>
          <w:szCs w:val="22"/>
          <w:lang w:val="en-GB"/>
        </w:rPr>
        <w:t>Use concrete examples</w:t>
      </w:r>
      <w:r w:rsidRPr="007261E7">
        <w:rPr>
          <w:color w:val="D7337F"/>
          <w:sz w:val="22"/>
          <w:szCs w:val="22"/>
          <w:lang w:val="en-GB"/>
        </w:rPr>
        <w:t> </w:t>
      </w:r>
      <w:r w:rsidRPr="007261E7">
        <w:rPr>
          <w:sz w:val="22"/>
          <w:szCs w:val="22"/>
          <w:lang w:val="en-GB"/>
        </w:rPr>
        <w:t>– Be aware of which areas of work are of particular interest and use specific examples to showcase how community feedback can help in relation to these.</w:t>
      </w:r>
    </w:p>
    <w:p w14:paraId="4DC94FCA" w14:textId="77777777" w:rsidR="003F38BC" w:rsidRPr="007261E7" w:rsidRDefault="003F38BC" w:rsidP="000576AE">
      <w:pPr>
        <w:pStyle w:val="BulletPoint"/>
        <w:rPr>
          <w:sz w:val="22"/>
          <w:szCs w:val="22"/>
          <w:lang w:val="en-GB"/>
        </w:rPr>
      </w:pPr>
      <w:r w:rsidRPr="007261E7">
        <w:rPr>
          <w:b/>
          <w:color w:val="D7337F"/>
          <w:sz w:val="22"/>
          <w:szCs w:val="22"/>
          <w:lang w:val="en-GB"/>
        </w:rPr>
        <w:t>Drop important keywords</w:t>
      </w:r>
      <w:r w:rsidRPr="007261E7">
        <w:rPr>
          <w:color w:val="D7337F"/>
          <w:sz w:val="22"/>
          <w:szCs w:val="22"/>
          <w:lang w:val="en-GB"/>
        </w:rPr>
        <w:t> </w:t>
      </w:r>
      <w:r w:rsidRPr="007261E7">
        <w:rPr>
          <w:sz w:val="22"/>
          <w:szCs w:val="22"/>
          <w:lang w:val="en-GB"/>
        </w:rPr>
        <w:t>- Review strategies and plans and use keywords mentioned there when you present your feedback process.</w:t>
      </w:r>
    </w:p>
    <w:p w14:paraId="3F06E76D" w14:textId="77777777" w:rsidR="003F38BC" w:rsidRPr="007261E7" w:rsidRDefault="003F38BC" w:rsidP="00AE7C26">
      <w:pPr>
        <w:pStyle w:val="H2"/>
        <w:numPr>
          <w:ilvl w:val="0"/>
          <w:numId w:val="24"/>
        </w:numPr>
        <w:spacing w:before="240"/>
        <w:ind w:left="270" w:hanging="270"/>
        <w:rPr>
          <w:lang w:val="en-GB"/>
        </w:rPr>
      </w:pPr>
      <w:r w:rsidRPr="007261E7">
        <w:rPr>
          <w:lang w:val="en-GB"/>
        </w:rPr>
        <w:t>ALIGN WITH PLANS AND PRIORITIES</w:t>
      </w:r>
    </w:p>
    <w:p w14:paraId="06E921C9" w14:textId="77777777" w:rsidR="003F38BC" w:rsidRPr="007261E7" w:rsidRDefault="003F38BC" w:rsidP="000576AE">
      <w:pPr>
        <w:pStyle w:val="BulletPoint"/>
        <w:rPr>
          <w:sz w:val="22"/>
          <w:szCs w:val="22"/>
          <w:lang w:val="en-GB"/>
        </w:rPr>
      </w:pPr>
      <w:r w:rsidRPr="007261E7">
        <w:rPr>
          <w:b/>
          <w:color w:val="D7337F"/>
          <w:sz w:val="22"/>
          <w:szCs w:val="22"/>
          <w:lang w:val="en-GB"/>
        </w:rPr>
        <w:t>Understand the leadership's priorities </w:t>
      </w:r>
      <w:r w:rsidRPr="007261E7">
        <w:rPr>
          <w:b/>
          <w:sz w:val="22"/>
          <w:szCs w:val="22"/>
          <w:lang w:val="en-GB"/>
        </w:rPr>
        <w:t xml:space="preserve">– </w:t>
      </w:r>
      <w:r w:rsidRPr="007261E7">
        <w:rPr>
          <w:sz w:val="22"/>
          <w:szCs w:val="22"/>
          <w:lang w:val="en-GB"/>
        </w:rPr>
        <w:t>You can show how the community feedback mechanism can help achieve their objectives.</w:t>
      </w:r>
    </w:p>
    <w:p w14:paraId="38C1BFB0" w14:textId="77777777" w:rsidR="003F38BC" w:rsidRPr="007261E7" w:rsidRDefault="003F38BC" w:rsidP="000576AE">
      <w:pPr>
        <w:pStyle w:val="BulletPoint"/>
        <w:rPr>
          <w:sz w:val="22"/>
          <w:szCs w:val="22"/>
          <w:lang w:val="en-GB"/>
        </w:rPr>
      </w:pPr>
      <w:r w:rsidRPr="007261E7">
        <w:rPr>
          <w:b/>
          <w:color w:val="D7337F"/>
          <w:sz w:val="22"/>
          <w:szCs w:val="22"/>
          <w:lang w:val="en-GB"/>
        </w:rPr>
        <w:t>Integrate into plans and budgets</w:t>
      </w:r>
      <w:r w:rsidRPr="007261E7">
        <w:rPr>
          <w:color w:val="D7337F"/>
          <w:sz w:val="22"/>
          <w:szCs w:val="22"/>
          <w:lang w:val="en-GB"/>
        </w:rPr>
        <w:t xml:space="preserve"> </w:t>
      </w:r>
      <w:r w:rsidRPr="007261E7">
        <w:rPr>
          <w:sz w:val="22"/>
          <w:szCs w:val="22"/>
          <w:lang w:val="en-GB"/>
        </w:rPr>
        <w:t>– Make sure you can input into strategic and operational plans to integrate and budget for feedback components.</w:t>
      </w:r>
    </w:p>
    <w:p w14:paraId="7BE38818" w14:textId="77777777" w:rsidR="003F38BC" w:rsidRPr="007261E7" w:rsidRDefault="003F38BC" w:rsidP="000576AE">
      <w:pPr>
        <w:pStyle w:val="BulletPoint"/>
        <w:rPr>
          <w:sz w:val="22"/>
          <w:szCs w:val="22"/>
          <w:lang w:val="en-GB"/>
        </w:rPr>
      </w:pPr>
      <w:r w:rsidRPr="007261E7">
        <w:rPr>
          <w:b/>
          <w:color w:val="D7337F"/>
          <w:sz w:val="22"/>
          <w:szCs w:val="22"/>
          <w:lang w:val="en-GB"/>
        </w:rPr>
        <w:t>Complement existing mechanisms</w:t>
      </w:r>
      <w:r w:rsidRPr="007261E7">
        <w:rPr>
          <w:color w:val="D7337F"/>
          <w:sz w:val="22"/>
          <w:szCs w:val="22"/>
          <w:lang w:val="en-GB"/>
        </w:rPr>
        <w:t> </w:t>
      </w:r>
      <w:r w:rsidRPr="007261E7">
        <w:rPr>
          <w:sz w:val="22"/>
          <w:szCs w:val="22"/>
          <w:lang w:val="en-GB"/>
        </w:rPr>
        <w:t>– Find out if there are mechanisms you can tap into or build on, rather than setting up something new that might be duplicative.</w:t>
      </w:r>
    </w:p>
    <w:p w14:paraId="62E8F3A8" w14:textId="77777777" w:rsidR="003F38BC" w:rsidRPr="007261E7" w:rsidRDefault="003F38BC" w:rsidP="00AE7C26">
      <w:pPr>
        <w:pStyle w:val="H2"/>
        <w:numPr>
          <w:ilvl w:val="0"/>
          <w:numId w:val="24"/>
        </w:numPr>
        <w:spacing w:before="240"/>
        <w:ind w:left="270" w:hanging="270"/>
        <w:rPr>
          <w:lang w:val="en-GB"/>
        </w:rPr>
      </w:pPr>
      <w:r w:rsidRPr="007261E7">
        <w:rPr>
          <w:lang w:val="en-GB"/>
        </w:rPr>
        <w:t>TALK TO THE RIGHT PEOPLE</w:t>
      </w:r>
    </w:p>
    <w:p w14:paraId="1DD86673" w14:textId="77777777" w:rsidR="003F38BC" w:rsidRPr="007261E7" w:rsidRDefault="003F38BC" w:rsidP="0037056E">
      <w:pPr>
        <w:pStyle w:val="BulletPoint"/>
        <w:rPr>
          <w:sz w:val="22"/>
          <w:szCs w:val="22"/>
          <w:lang w:val="en-GB"/>
        </w:rPr>
      </w:pPr>
      <w:r w:rsidRPr="007261E7">
        <w:rPr>
          <w:b/>
          <w:color w:val="D7337F"/>
          <w:sz w:val="22"/>
          <w:szCs w:val="22"/>
          <w:lang w:val="en-GB"/>
        </w:rPr>
        <w:t>Understand the power dynamics</w:t>
      </w:r>
      <w:r w:rsidRPr="007261E7">
        <w:rPr>
          <w:color w:val="D7337F"/>
          <w:sz w:val="22"/>
          <w:szCs w:val="22"/>
          <w:lang w:val="en-GB"/>
        </w:rPr>
        <w:t> </w:t>
      </w:r>
      <w:r w:rsidRPr="007261E7">
        <w:rPr>
          <w:sz w:val="22"/>
          <w:szCs w:val="22"/>
          <w:lang w:val="en-GB"/>
        </w:rPr>
        <w:t>– Get an understanding of who is listened to and has an influence on the leadership.</w:t>
      </w:r>
    </w:p>
    <w:p w14:paraId="11DF0B45" w14:textId="77777777" w:rsidR="003F38BC" w:rsidRPr="007261E7" w:rsidRDefault="003F38BC" w:rsidP="0037056E">
      <w:pPr>
        <w:pStyle w:val="BulletPoint"/>
        <w:rPr>
          <w:sz w:val="22"/>
          <w:szCs w:val="22"/>
          <w:lang w:val="en-GB"/>
        </w:rPr>
      </w:pPr>
      <w:r w:rsidRPr="007261E7">
        <w:rPr>
          <w:b/>
          <w:color w:val="D7337F"/>
          <w:sz w:val="22"/>
          <w:szCs w:val="22"/>
          <w:lang w:val="en-GB"/>
        </w:rPr>
        <w:t>Identify champions</w:t>
      </w:r>
      <w:r w:rsidRPr="007261E7">
        <w:rPr>
          <w:color w:val="D7337F"/>
          <w:sz w:val="22"/>
          <w:szCs w:val="22"/>
          <w:lang w:val="en-GB"/>
        </w:rPr>
        <w:t> </w:t>
      </w:r>
      <w:r w:rsidRPr="007261E7">
        <w:rPr>
          <w:sz w:val="22"/>
          <w:szCs w:val="22"/>
          <w:lang w:val="en-GB"/>
        </w:rPr>
        <w:t>– Identify influential colleagues who can advocate on your behalf.</w:t>
      </w:r>
    </w:p>
    <w:p w14:paraId="34C0001A" w14:textId="77777777" w:rsidR="003F38BC" w:rsidRPr="007261E7" w:rsidRDefault="003F38BC" w:rsidP="0037056E">
      <w:pPr>
        <w:pStyle w:val="BulletPoint"/>
        <w:rPr>
          <w:sz w:val="22"/>
          <w:szCs w:val="22"/>
          <w:lang w:val="en-GB"/>
        </w:rPr>
      </w:pPr>
      <w:r w:rsidRPr="007261E7">
        <w:rPr>
          <w:b/>
          <w:color w:val="D7337F"/>
          <w:sz w:val="22"/>
          <w:szCs w:val="22"/>
          <w:lang w:val="en-GB"/>
        </w:rPr>
        <w:t>Keep your champions informed</w:t>
      </w:r>
      <w:r w:rsidRPr="007261E7">
        <w:rPr>
          <w:color w:val="D7337F"/>
          <w:sz w:val="22"/>
          <w:szCs w:val="22"/>
          <w:lang w:val="en-GB"/>
        </w:rPr>
        <w:t> </w:t>
      </w:r>
      <w:r w:rsidRPr="007261E7">
        <w:rPr>
          <w:sz w:val="22"/>
          <w:szCs w:val="22"/>
          <w:lang w:val="en-GB"/>
        </w:rPr>
        <w:t>– regularly keep your champions informed, provide them with updates and ask them to stress specific points in their meetings with leadership.</w:t>
      </w:r>
    </w:p>
    <w:p w14:paraId="44D0BB77" w14:textId="77777777" w:rsidR="003F38BC" w:rsidRPr="007261E7" w:rsidRDefault="003F38BC" w:rsidP="005D178C">
      <w:pPr>
        <w:pStyle w:val="H2"/>
        <w:numPr>
          <w:ilvl w:val="0"/>
          <w:numId w:val="24"/>
        </w:numPr>
        <w:spacing w:before="240"/>
        <w:ind w:left="270" w:hanging="270"/>
        <w:rPr>
          <w:lang w:val="en-GB"/>
        </w:rPr>
      </w:pPr>
      <w:r w:rsidRPr="007261E7">
        <w:rPr>
          <w:lang w:val="en-GB"/>
        </w:rPr>
        <w:t>MENTION THE ADDED VALUE</w:t>
      </w:r>
    </w:p>
    <w:p w14:paraId="16B48BCA" w14:textId="77777777" w:rsidR="003F38BC" w:rsidRPr="007261E7" w:rsidRDefault="003F38BC" w:rsidP="0037056E">
      <w:pPr>
        <w:pStyle w:val="BulletPoint"/>
        <w:rPr>
          <w:sz w:val="22"/>
          <w:szCs w:val="22"/>
          <w:lang w:val="en-GB"/>
        </w:rPr>
      </w:pPr>
      <w:r w:rsidRPr="007261E7">
        <w:rPr>
          <w:b/>
          <w:color w:val="D7337F"/>
          <w:sz w:val="22"/>
          <w:szCs w:val="22"/>
          <w:lang w:val="en-GB"/>
        </w:rPr>
        <w:t>Focus on how it helps</w:t>
      </w:r>
      <w:r w:rsidRPr="007261E7">
        <w:rPr>
          <w:color w:val="D7337F"/>
          <w:sz w:val="22"/>
          <w:szCs w:val="22"/>
          <w:lang w:val="en-GB"/>
        </w:rPr>
        <w:t> </w:t>
      </w:r>
      <w:r w:rsidRPr="007261E7">
        <w:rPr>
          <w:sz w:val="22"/>
          <w:szCs w:val="22"/>
          <w:lang w:val="en-GB"/>
        </w:rPr>
        <w:t xml:space="preserve">- When starting the discussion on the feedback mechanism, focus on why this will help be more efficient, </w:t>
      </w:r>
      <w:proofErr w:type="gramStart"/>
      <w:r w:rsidRPr="007261E7">
        <w:rPr>
          <w:sz w:val="22"/>
          <w:szCs w:val="22"/>
          <w:lang w:val="en-GB"/>
        </w:rPr>
        <w:t>relevant</w:t>
      </w:r>
      <w:proofErr w:type="gramEnd"/>
      <w:r w:rsidRPr="007261E7">
        <w:rPr>
          <w:sz w:val="22"/>
          <w:szCs w:val="22"/>
          <w:lang w:val="en-GB"/>
        </w:rPr>
        <w:t xml:space="preserve"> and trusted.</w:t>
      </w:r>
    </w:p>
    <w:p w14:paraId="276389C5" w14:textId="77777777" w:rsidR="003F38BC" w:rsidRPr="007261E7" w:rsidRDefault="003F38BC" w:rsidP="0037056E">
      <w:pPr>
        <w:pStyle w:val="BulletPoint"/>
        <w:rPr>
          <w:sz w:val="22"/>
          <w:szCs w:val="22"/>
          <w:lang w:val="en-GB"/>
        </w:rPr>
      </w:pPr>
      <w:r w:rsidRPr="007261E7">
        <w:rPr>
          <w:b/>
          <w:color w:val="D7337F"/>
          <w:sz w:val="22"/>
          <w:szCs w:val="22"/>
          <w:lang w:val="en-GB"/>
        </w:rPr>
        <w:t>Tailor examples to specific sectors</w:t>
      </w:r>
      <w:r w:rsidRPr="007261E7">
        <w:rPr>
          <w:color w:val="D7337F"/>
          <w:sz w:val="22"/>
          <w:szCs w:val="22"/>
          <w:lang w:val="en-GB"/>
        </w:rPr>
        <w:t> </w:t>
      </w:r>
      <w:r w:rsidRPr="007261E7">
        <w:rPr>
          <w:sz w:val="22"/>
          <w:szCs w:val="22"/>
          <w:lang w:val="en-GB"/>
        </w:rPr>
        <w:t xml:space="preserve">- It helps to provide concrete examples that speak to the technical sector and leadership, </w:t>
      </w:r>
      <w:proofErr w:type="gramStart"/>
      <w:r w:rsidRPr="007261E7">
        <w:rPr>
          <w:sz w:val="22"/>
          <w:szCs w:val="22"/>
          <w:lang w:val="en-GB"/>
        </w:rPr>
        <w:t>e.g.</w:t>
      </w:r>
      <w:proofErr w:type="gramEnd"/>
      <w:r w:rsidRPr="007261E7">
        <w:rPr>
          <w:sz w:val="22"/>
          <w:szCs w:val="22"/>
          <w:lang w:val="en-GB"/>
        </w:rPr>
        <w:t xml:space="preserve"> examples of latrines being built in a wrong location for the WASH colleagues or examples linked to improved efficiency for leadership.</w:t>
      </w:r>
    </w:p>
    <w:p w14:paraId="30A905B0" w14:textId="77777777" w:rsidR="003F38BC" w:rsidRPr="007261E7" w:rsidRDefault="003F38BC" w:rsidP="0037056E">
      <w:pPr>
        <w:pStyle w:val="BulletPoint"/>
        <w:rPr>
          <w:sz w:val="22"/>
          <w:szCs w:val="22"/>
          <w:lang w:val="en-GB"/>
        </w:rPr>
      </w:pPr>
      <w:r w:rsidRPr="007261E7">
        <w:rPr>
          <w:b/>
          <w:color w:val="D7337F"/>
          <w:sz w:val="22"/>
          <w:szCs w:val="22"/>
          <w:lang w:val="en-GB"/>
        </w:rPr>
        <w:t>Explain how it will make their lives easier</w:t>
      </w:r>
      <w:r w:rsidRPr="007261E7">
        <w:rPr>
          <w:color w:val="D7337F"/>
          <w:sz w:val="22"/>
          <w:szCs w:val="22"/>
          <w:lang w:val="en-GB"/>
        </w:rPr>
        <w:t> </w:t>
      </w:r>
      <w:r w:rsidRPr="007261E7">
        <w:rPr>
          <w:sz w:val="22"/>
          <w:szCs w:val="22"/>
          <w:lang w:val="en-GB"/>
        </w:rPr>
        <w:t>– rather than adding to their busy agendas, the feedback mechanism can save them times and resources by highlighting issues early on.</w:t>
      </w:r>
    </w:p>
    <w:p w14:paraId="5F4BF07A" w14:textId="77777777" w:rsidR="003F38BC" w:rsidRPr="007261E7" w:rsidRDefault="003F38BC" w:rsidP="005D178C">
      <w:pPr>
        <w:pStyle w:val="H2"/>
        <w:numPr>
          <w:ilvl w:val="0"/>
          <w:numId w:val="24"/>
        </w:numPr>
        <w:spacing w:before="240"/>
        <w:ind w:left="270" w:hanging="270"/>
        <w:rPr>
          <w:lang w:val="en-GB"/>
        </w:rPr>
      </w:pPr>
      <w:r w:rsidRPr="007261E7">
        <w:rPr>
          <w:lang w:val="en-GB"/>
        </w:rPr>
        <w:t>SHOW THE RISKS OF NOT DOING IT</w:t>
      </w:r>
    </w:p>
    <w:p w14:paraId="7F55535B" w14:textId="77777777" w:rsidR="003F38BC" w:rsidRDefault="003F38BC" w:rsidP="0037056E">
      <w:pPr>
        <w:pStyle w:val="BulletPoint"/>
        <w:rPr>
          <w:sz w:val="22"/>
          <w:szCs w:val="22"/>
          <w:lang w:val="en-GB"/>
        </w:rPr>
      </w:pPr>
      <w:r w:rsidRPr="007261E7">
        <w:rPr>
          <w:b/>
          <w:color w:val="D7337F"/>
          <w:sz w:val="22"/>
          <w:szCs w:val="22"/>
          <w:lang w:val="en-GB"/>
        </w:rPr>
        <w:t>Mention what happens if issues escalate</w:t>
      </w:r>
      <w:r w:rsidRPr="007261E7">
        <w:rPr>
          <w:color w:val="D7337F"/>
          <w:sz w:val="22"/>
          <w:szCs w:val="22"/>
          <w:lang w:val="en-GB"/>
        </w:rPr>
        <w:t> </w:t>
      </w:r>
      <w:r w:rsidRPr="007261E7">
        <w:rPr>
          <w:sz w:val="22"/>
          <w:szCs w:val="22"/>
          <w:lang w:val="en-GB"/>
        </w:rPr>
        <w:t>– feedback mechanisms help identify issues and address them quickly. We risk losing trust, access, time, resources, credibility, visibility, and safety if we don't. If we aren’t listening, we won’t be able to identify and address rumours and misinformation.</w:t>
      </w:r>
    </w:p>
    <w:p w14:paraId="7F2529B3" w14:textId="77777777" w:rsidR="00AE7C26" w:rsidRDefault="00AE7C26" w:rsidP="00AE7C26">
      <w:pPr>
        <w:pStyle w:val="BulletPoint"/>
        <w:numPr>
          <w:ilvl w:val="0"/>
          <w:numId w:val="0"/>
        </w:numPr>
        <w:ind w:left="720"/>
        <w:rPr>
          <w:b/>
          <w:color w:val="D7337F"/>
          <w:sz w:val="22"/>
          <w:szCs w:val="22"/>
          <w:lang w:val="en-GB"/>
        </w:rPr>
      </w:pPr>
    </w:p>
    <w:p w14:paraId="661493FC" w14:textId="77777777" w:rsidR="00AE7C26" w:rsidRDefault="00AE7C26" w:rsidP="00AE7C26">
      <w:pPr>
        <w:pStyle w:val="BulletPoint"/>
        <w:numPr>
          <w:ilvl w:val="0"/>
          <w:numId w:val="0"/>
        </w:numPr>
        <w:ind w:left="720"/>
        <w:rPr>
          <w:b/>
          <w:color w:val="D7337F"/>
          <w:sz w:val="22"/>
          <w:szCs w:val="22"/>
          <w:lang w:val="en-GB"/>
        </w:rPr>
      </w:pPr>
    </w:p>
    <w:p w14:paraId="13E2F8B7" w14:textId="77777777" w:rsidR="00AE7C26" w:rsidRPr="007261E7" w:rsidRDefault="00AE7C26" w:rsidP="00AE7C26">
      <w:pPr>
        <w:pStyle w:val="BulletPoint"/>
        <w:numPr>
          <w:ilvl w:val="0"/>
          <w:numId w:val="0"/>
        </w:numPr>
        <w:ind w:left="720"/>
        <w:rPr>
          <w:sz w:val="22"/>
          <w:szCs w:val="22"/>
          <w:lang w:val="en-GB"/>
        </w:rPr>
      </w:pPr>
    </w:p>
    <w:p w14:paraId="076BBE80" w14:textId="77777777" w:rsidR="003F38BC" w:rsidRPr="007261E7" w:rsidRDefault="003F38BC" w:rsidP="005D178C">
      <w:pPr>
        <w:pStyle w:val="H2"/>
        <w:numPr>
          <w:ilvl w:val="0"/>
          <w:numId w:val="24"/>
        </w:numPr>
        <w:spacing w:before="240"/>
        <w:ind w:left="270" w:hanging="270"/>
        <w:rPr>
          <w:lang w:val="en-GB"/>
        </w:rPr>
      </w:pPr>
      <w:r w:rsidRPr="007261E7">
        <w:rPr>
          <w:lang w:val="en-GB"/>
        </w:rPr>
        <w:lastRenderedPageBreak/>
        <w:t>UNDERSTAND THE INFORMATION NEEDS AND WAY OF WORKING</w:t>
      </w:r>
    </w:p>
    <w:p w14:paraId="4B77F277" w14:textId="77777777" w:rsidR="003F38BC" w:rsidRPr="007261E7" w:rsidRDefault="003F38BC" w:rsidP="0037056E">
      <w:pPr>
        <w:pStyle w:val="BulletPoint"/>
        <w:rPr>
          <w:sz w:val="22"/>
          <w:szCs w:val="22"/>
          <w:lang w:val="en-GB"/>
        </w:rPr>
      </w:pPr>
      <w:r w:rsidRPr="007261E7">
        <w:rPr>
          <w:b/>
          <w:color w:val="D7337F"/>
          <w:sz w:val="22"/>
          <w:szCs w:val="22"/>
          <w:lang w:val="en-GB"/>
        </w:rPr>
        <w:t>Discuss how to share the information</w:t>
      </w:r>
      <w:r w:rsidRPr="007261E7">
        <w:rPr>
          <w:color w:val="D7337F"/>
          <w:sz w:val="22"/>
          <w:szCs w:val="22"/>
          <w:lang w:val="en-GB"/>
        </w:rPr>
        <w:t> </w:t>
      </w:r>
      <w:r w:rsidRPr="007261E7">
        <w:rPr>
          <w:sz w:val="22"/>
          <w:szCs w:val="22"/>
          <w:lang w:val="en-GB"/>
        </w:rPr>
        <w:t xml:space="preserve">– attention spans are short, especially during emergencies, so try to understand how to </w:t>
      </w:r>
      <w:proofErr w:type="gramStart"/>
      <w:r w:rsidRPr="007261E7">
        <w:rPr>
          <w:sz w:val="22"/>
          <w:szCs w:val="22"/>
          <w:lang w:val="en-GB"/>
        </w:rPr>
        <w:t>best and most efficiently share the information</w:t>
      </w:r>
      <w:proofErr w:type="gramEnd"/>
      <w:r w:rsidRPr="007261E7">
        <w:rPr>
          <w:sz w:val="22"/>
          <w:szCs w:val="22"/>
          <w:lang w:val="en-GB"/>
        </w:rPr>
        <w:t xml:space="preserve"> with leadership and colleagues.</w:t>
      </w:r>
    </w:p>
    <w:p w14:paraId="539DA163" w14:textId="77777777" w:rsidR="003F38BC" w:rsidRPr="007261E7" w:rsidRDefault="003F38BC" w:rsidP="0037056E">
      <w:pPr>
        <w:pStyle w:val="BulletPoint"/>
        <w:rPr>
          <w:sz w:val="22"/>
          <w:szCs w:val="22"/>
          <w:lang w:val="en-GB"/>
        </w:rPr>
      </w:pPr>
      <w:r w:rsidRPr="007261E7">
        <w:rPr>
          <w:b/>
          <w:color w:val="D7337F"/>
          <w:sz w:val="22"/>
          <w:szCs w:val="22"/>
          <w:lang w:val="en-GB"/>
        </w:rPr>
        <w:t>Ask if there are specific areas of interest</w:t>
      </w:r>
      <w:r w:rsidRPr="007261E7">
        <w:rPr>
          <w:color w:val="D7337F"/>
          <w:sz w:val="22"/>
          <w:szCs w:val="22"/>
          <w:lang w:val="en-GB"/>
        </w:rPr>
        <w:t> </w:t>
      </w:r>
      <w:r w:rsidRPr="007261E7">
        <w:rPr>
          <w:sz w:val="22"/>
          <w:szCs w:val="22"/>
          <w:lang w:val="en-GB"/>
        </w:rPr>
        <w:t xml:space="preserve">– This will help you share the different types of information with those who can </w:t>
      </w:r>
      <w:proofErr w:type="gramStart"/>
      <w:r w:rsidRPr="007261E7">
        <w:rPr>
          <w:sz w:val="22"/>
          <w:szCs w:val="22"/>
          <w:lang w:val="en-GB"/>
        </w:rPr>
        <w:t>take action</w:t>
      </w:r>
      <w:proofErr w:type="gramEnd"/>
      <w:r w:rsidRPr="007261E7">
        <w:rPr>
          <w:sz w:val="22"/>
          <w:szCs w:val="22"/>
          <w:lang w:val="en-GB"/>
        </w:rPr>
        <w:t xml:space="preserve"> and avoid overwhelming your leadership and colleagues with too detailed updates.</w:t>
      </w:r>
    </w:p>
    <w:p w14:paraId="61452ADB" w14:textId="77777777" w:rsidR="003F38BC" w:rsidRPr="007261E7" w:rsidRDefault="003F38BC" w:rsidP="005D178C">
      <w:pPr>
        <w:pStyle w:val="H2"/>
        <w:numPr>
          <w:ilvl w:val="0"/>
          <w:numId w:val="24"/>
        </w:numPr>
        <w:spacing w:before="240"/>
        <w:ind w:left="270" w:hanging="270"/>
        <w:rPr>
          <w:lang w:val="en-GB"/>
        </w:rPr>
      </w:pPr>
      <w:r w:rsidRPr="007261E7">
        <w:rPr>
          <w:lang w:val="en-GB"/>
        </w:rPr>
        <w:t>INVOLVE THE LEADERSHIP AND COLLEAGUES IN THE PLANNING</w:t>
      </w:r>
    </w:p>
    <w:p w14:paraId="3589EFDF" w14:textId="77777777" w:rsidR="003F38BC" w:rsidRPr="007261E7" w:rsidRDefault="003F38BC" w:rsidP="0037056E">
      <w:pPr>
        <w:pStyle w:val="BulletPoint"/>
        <w:rPr>
          <w:sz w:val="22"/>
          <w:szCs w:val="22"/>
          <w:lang w:val="en-GB"/>
        </w:rPr>
      </w:pPr>
      <w:r w:rsidRPr="00E2486C">
        <w:rPr>
          <w:b/>
          <w:color w:val="D7337F"/>
          <w:sz w:val="22"/>
          <w:szCs w:val="22"/>
          <w:lang w:val="en-GB"/>
        </w:rPr>
        <w:t>Jointly design the mechanism</w:t>
      </w:r>
      <w:r w:rsidRPr="00E2486C">
        <w:rPr>
          <w:color w:val="D7337F"/>
          <w:sz w:val="22"/>
          <w:szCs w:val="22"/>
          <w:lang w:val="en-GB"/>
        </w:rPr>
        <w:t> </w:t>
      </w:r>
      <w:r w:rsidRPr="007261E7">
        <w:rPr>
          <w:sz w:val="22"/>
          <w:szCs w:val="22"/>
          <w:lang w:val="en-GB"/>
        </w:rPr>
        <w:t>– do not present a finalised plan to the leadership but involve them in the initial discussions.</w:t>
      </w:r>
    </w:p>
    <w:p w14:paraId="07C40F76" w14:textId="77777777" w:rsidR="003F38BC" w:rsidRPr="007261E7" w:rsidRDefault="003F38BC" w:rsidP="0037056E">
      <w:pPr>
        <w:pStyle w:val="BulletPoint"/>
        <w:rPr>
          <w:sz w:val="22"/>
          <w:szCs w:val="22"/>
          <w:lang w:val="en-GB"/>
        </w:rPr>
      </w:pPr>
      <w:r w:rsidRPr="00E2486C">
        <w:rPr>
          <w:b/>
          <w:color w:val="D7337F"/>
          <w:sz w:val="22"/>
          <w:szCs w:val="22"/>
          <w:lang w:val="en-GB"/>
        </w:rPr>
        <w:t>Discuss everyone's roles and responsibilities</w:t>
      </w:r>
      <w:r w:rsidRPr="00E2486C">
        <w:rPr>
          <w:color w:val="D7337F"/>
          <w:sz w:val="22"/>
          <w:szCs w:val="22"/>
          <w:lang w:val="en-GB"/>
        </w:rPr>
        <w:t> </w:t>
      </w:r>
      <w:r w:rsidRPr="007261E7">
        <w:rPr>
          <w:sz w:val="22"/>
          <w:szCs w:val="22"/>
          <w:lang w:val="en-GB"/>
        </w:rPr>
        <w:t xml:space="preserve">- ownership will only be achieved by treating the feedback mechanism as a joint </w:t>
      </w:r>
      <w:proofErr w:type="spellStart"/>
      <w:r w:rsidRPr="007261E7">
        <w:rPr>
          <w:sz w:val="22"/>
          <w:szCs w:val="22"/>
          <w:lang w:val="en-GB"/>
        </w:rPr>
        <w:t>endeavor</w:t>
      </w:r>
      <w:proofErr w:type="spellEnd"/>
      <w:r w:rsidRPr="007261E7">
        <w:rPr>
          <w:sz w:val="22"/>
          <w:szCs w:val="22"/>
          <w:lang w:val="en-GB"/>
        </w:rPr>
        <w:t xml:space="preserve"> and not a standalone CEA activity.</w:t>
      </w:r>
    </w:p>
    <w:p w14:paraId="0791E65B" w14:textId="77777777" w:rsidR="003F38BC" w:rsidRPr="007261E7" w:rsidRDefault="003F38BC" w:rsidP="005D178C">
      <w:pPr>
        <w:pStyle w:val="H2"/>
        <w:numPr>
          <w:ilvl w:val="0"/>
          <w:numId w:val="24"/>
        </w:numPr>
        <w:spacing w:before="240"/>
        <w:ind w:left="270" w:hanging="270"/>
        <w:rPr>
          <w:lang w:val="en-GB"/>
        </w:rPr>
      </w:pPr>
      <w:r w:rsidRPr="007261E7">
        <w:rPr>
          <w:lang w:val="en-GB"/>
        </w:rPr>
        <w:t>PILOT AND SHOW IMPACT</w:t>
      </w:r>
    </w:p>
    <w:p w14:paraId="033EE54A" w14:textId="77777777" w:rsidR="003F38BC" w:rsidRPr="007261E7" w:rsidRDefault="003F38BC" w:rsidP="0037056E">
      <w:pPr>
        <w:pStyle w:val="BulletPoint"/>
        <w:rPr>
          <w:sz w:val="22"/>
          <w:szCs w:val="22"/>
          <w:lang w:val="en-GB"/>
        </w:rPr>
      </w:pPr>
      <w:r w:rsidRPr="00E2486C">
        <w:rPr>
          <w:b/>
          <w:color w:val="D7337F"/>
          <w:sz w:val="22"/>
          <w:szCs w:val="22"/>
          <w:lang w:val="en-GB"/>
        </w:rPr>
        <w:t>Start small</w:t>
      </w:r>
      <w:r w:rsidRPr="00E2486C">
        <w:rPr>
          <w:color w:val="D7337F"/>
          <w:sz w:val="22"/>
          <w:szCs w:val="22"/>
          <w:lang w:val="en-GB"/>
        </w:rPr>
        <w:t> </w:t>
      </w:r>
      <w:r w:rsidRPr="007261E7">
        <w:rPr>
          <w:sz w:val="22"/>
          <w:szCs w:val="22"/>
          <w:lang w:val="en-GB"/>
        </w:rPr>
        <w:t>– Choose a context with a strong team and a clear interest and start setting up a pilot system.</w:t>
      </w:r>
    </w:p>
    <w:p w14:paraId="1EEEEC27" w14:textId="77777777" w:rsidR="003F38BC" w:rsidRPr="007261E7" w:rsidRDefault="003F38BC" w:rsidP="0037056E">
      <w:pPr>
        <w:pStyle w:val="BulletPoint"/>
        <w:rPr>
          <w:sz w:val="22"/>
          <w:szCs w:val="22"/>
          <w:lang w:val="en-GB"/>
        </w:rPr>
      </w:pPr>
      <w:r w:rsidRPr="00E2486C">
        <w:rPr>
          <w:b/>
          <w:color w:val="D7337F"/>
          <w:sz w:val="22"/>
          <w:szCs w:val="22"/>
          <w:lang w:val="en-GB"/>
        </w:rPr>
        <w:t>Demonstrate an effective feedback loop</w:t>
      </w:r>
      <w:r w:rsidRPr="00E2486C">
        <w:rPr>
          <w:color w:val="D7337F"/>
          <w:sz w:val="22"/>
          <w:szCs w:val="22"/>
          <w:lang w:val="en-GB"/>
        </w:rPr>
        <w:t> </w:t>
      </w:r>
      <w:r w:rsidRPr="007261E7">
        <w:rPr>
          <w:sz w:val="22"/>
          <w:szCs w:val="22"/>
          <w:lang w:val="en-GB"/>
        </w:rPr>
        <w:t>– once you have your pilot feedback mechanism in place, you can show what it means to go through all steps of a feedback cycle. This will make it more tangible for leaders and colleagues.</w:t>
      </w:r>
    </w:p>
    <w:p w14:paraId="4EE64459" w14:textId="77777777" w:rsidR="003F38BC" w:rsidRPr="007261E7" w:rsidRDefault="003F38BC" w:rsidP="0037056E">
      <w:pPr>
        <w:pStyle w:val="BulletPoint"/>
        <w:rPr>
          <w:sz w:val="22"/>
          <w:szCs w:val="22"/>
          <w:lang w:val="en-GB"/>
        </w:rPr>
      </w:pPr>
      <w:r w:rsidRPr="00E2486C">
        <w:rPr>
          <w:b/>
          <w:color w:val="D7337F"/>
          <w:sz w:val="22"/>
          <w:szCs w:val="22"/>
          <w:lang w:val="en-GB"/>
        </w:rPr>
        <w:t>Scale-up </w:t>
      </w:r>
      <w:r w:rsidRPr="007261E7">
        <w:rPr>
          <w:sz w:val="22"/>
          <w:szCs w:val="22"/>
          <w:lang w:val="en-GB"/>
        </w:rPr>
        <w:t>– when the team is ready and you have the support you need, you can expand the mechanism.</w:t>
      </w:r>
    </w:p>
    <w:p w14:paraId="72D8F34E" w14:textId="77777777" w:rsidR="003F38BC" w:rsidRPr="007261E7" w:rsidRDefault="003F38BC" w:rsidP="005D178C">
      <w:pPr>
        <w:pStyle w:val="H2"/>
        <w:numPr>
          <w:ilvl w:val="0"/>
          <w:numId w:val="24"/>
        </w:numPr>
        <w:spacing w:before="240"/>
        <w:ind w:left="270" w:hanging="270"/>
        <w:rPr>
          <w:lang w:val="en-GB"/>
        </w:rPr>
      </w:pPr>
      <w:r w:rsidRPr="007261E7">
        <w:rPr>
          <w:lang w:val="en-GB"/>
        </w:rPr>
        <w:t>DEMONSTRATE HOW IT CAN HELP WITH VISIBILITY AND FUNDING</w:t>
      </w:r>
    </w:p>
    <w:p w14:paraId="07FAE389" w14:textId="77777777" w:rsidR="003F38BC" w:rsidRPr="007261E7" w:rsidRDefault="003F38BC" w:rsidP="0037056E">
      <w:pPr>
        <w:pStyle w:val="BulletPoint"/>
        <w:rPr>
          <w:sz w:val="22"/>
          <w:szCs w:val="22"/>
          <w:lang w:val="en-GB"/>
        </w:rPr>
      </w:pPr>
      <w:r w:rsidRPr="00E2486C">
        <w:rPr>
          <w:b/>
          <w:color w:val="D7337F"/>
          <w:sz w:val="22"/>
          <w:szCs w:val="22"/>
          <w:lang w:val="en-GB"/>
        </w:rPr>
        <w:t>Sell your comparative advantage</w:t>
      </w:r>
      <w:r w:rsidRPr="00E2486C">
        <w:rPr>
          <w:color w:val="D7337F"/>
          <w:sz w:val="22"/>
          <w:szCs w:val="22"/>
          <w:lang w:val="en-GB"/>
        </w:rPr>
        <w:t> </w:t>
      </w:r>
      <w:r w:rsidRPr="007261E7">
        <w:rPr>
          <w:sz w:val="22"/>
          <w:szCs w:val="22"/>
          <w:lang w:val="en-GB"/>
        </w:rPr>
        <w:t>– Not all organisations have a direct link to communities, nor do they all have the tools and capacity to systematically record and share the feedback.</w:t>
      </w:r>
    </w:p>
    <w:p w14:paraId="3EF7BD56" w14:textId="77777777" w:rsidR="003F38BC" w:rsidRPr="007261E7" w:rsidRDefault="003F38BC" w:rsidP="0037056E">
      <w:pPr>
        <w:pStyle w:val="BulletPoint"/>
        <w:rPr>
          <w:sz w:val="22"/>
          <w:szCs w:val="22"/>
          <w:lang w:val="en-GB"/>
        </w:rPr>
      </w:pPr>
      <w:r w:rsidRPr="00E2486C">
        <w:rPr>
          <w:b/>
          <w:color w:val="D7337F"/>
          <w:sz w:val="22"/>
          <w:szCs w:val="22"/>
          <w:lang w:val="en-GB"/>
        </w:rPr>
        <w:t>Explain how you can share with others </w:t>
      </w:r>
      <w:r w:rsidRPr="007261E7">
        <w:rPr>
          <w:sz w:val="22"/>
          <w:szCs w:val="22"/>
          <w:lang w:val="en-GB"/>
        </w:rPr>
        <w:t>– your feedback reports can be shared with other organisations and donors and have often been sought after in emergency responses.</w:t>
      </w:r>
    </w:p>
    <w:p w14:paraId="4127596B" w14:textId="77777777" w:rsidR="003F38BC" w:rsidRPr="007261E7" w:rsidRDefault="003F38BC" w:rsidP="0037056E">
      <w:pPr>
        <w:pStyle w:val="BulletPoint"/>
        <w:rPr>
          <w:sz w:val="22"/>
          <w:szCs w:val="22"/>
          <w:lang w:val="en-GB"/>
        </w:rPr>
      </w:pPr>
      <w:r w:rsidRPr="00E2486C">
        <w:rPr>
          <w:b/>
          <w:color w:val="D7337F"/>
          <w:sz w:val="22"/>
          <w:szCs w:val="22"/>
          <w:lang w:val="en-GB"/>
        </w:rPr>
        <w:t>Show how you can support fundraising</w:t>
      </w:r>
      <w:r w:rsidRPr="00E2486C">
        <w:rPr>
          <w:color w:val="D7337F"/>
          <w:sz w:val="22"/>
          <w:szCs w:val="22"/>
          <w:lang w:val="en-GB"/>
        </w:rPr>
        <w:t> </w:t>
      </w:r>
      <w:r w:rsidRPr="007261E7">
        <w:rPr>
          <w:sz w:val="22"/>
          <w:szCs w:val="22"/>
          <w:lang w:val="en-GB"/>
        </w:rPr>
        <w:t>– donors usually have a high interest in effective feedback mechanisms, as this is a way for them to monitor the impact of what they are funding.</w:t>
      </w:r>
    </w:p>
    <w:p w14:paraId="1D9E3B29" w14:textId="23BB94A5" w:rsidR="003F38BC" w:rsidRPr="007261E7" w:rsidRDefault="005D178C" w:rsidP="005D178C">
      <w:pPr>
        <w:pStyle w:val="H2"/>
        <w:numPr>
          <w:ilvl w:val="0"/>
          <w:numId w:val="24"/>
        </w:numPr>
        <w:tabs>
          <w:tab w:val="left" w:pos="360"/>
        </w:tabs>
        <w:spacing w:before="240"/>
        <w:ind w:left="270" w:hanging="270"/>
        <w:rPr>
          <w:lang w:val="en-GB"/>
        </w:rPr>
      </w:pPr>
      <w:r>
        <w:rPr>
          <w:lang w:val="en-GB"/>
        </w:rPr>
        <w:t xml:space="preserve"> </w:t>
      </w:r>
      <w:r w:rsidR="003F38BC" w:rsidRPr="007261E7">
        <w:rPr>
          <w:lang w:val="en-GB"/>
        </w:rPr>
        <w:t>MAKE IT THEIR SUCCESS</w:t>
      </w:r>
    </w:p>
    <w:p w14:paraId="5A504CD7" w14:textId="77777777" w:rsidR="003F38BC" w:rsidRPr="007261E7" w:rsidRDefault="003F38BC" w:rsidP="0037056E">
      <w:pPr>
        <w:pStyle w:val="BulletPoint"/>
        <w:rPr>
          <w:sz w:val="22"/>
          <w:szCs w:val="22"/>
          <w:lang w:val="en-GB"/>
        </w:rPr>
      </w:pPr>
      <w:r w:rsidRPr="00E2486C">
        <w:rPr>
          <w:b/>
          <w:color w:val="D7337F"/>
          <w:sz w:val="22"/>
          <w:szCs w:val="22"/>
          <w:lang w:val="en-GB"/>
        </w:rPr>
        <w:t>Congratulate them on their idea</w:t>
      </w:r>
      <w:r w:rsidRPr="00E2486C">
        <w:rPr>
          <w:color w:val="D7337F"/>
          <w:sz w:val="22"/>
          <w:szCs w:val="22"/>
          <w:lang w:val="en-GB"/>
        </w:rPr>
        <w:t> </w:t>
      </w:r>
      <w:r w:rsidRPr="007261E7">
        <w:rPr>
          <w:sz w:val="22"/>
          <w:szCs w:val="22"/>
          <w:lang w:val="en-GB"/>
        </w:rPr>
        <w:t>- the biggest success we can achieve is for leadership to own the process and see it as their idea.</w:t>
      </w:r>
    </w:p>
    <w:p w14:paraId="55A0AFBE" w14:textId="77777777" w:rsidR="003F38BC" w:rsidRPr="007261E7" w:rsidRDefault="003F38BC" w:rsidP="0037056E">
      <w:pPr>
        <w:pStyle w:val="BulletPoint"/>
        <w:rPr>
          <w:sz w:val="22"/>
          <w:szCs w:val="22"/>
          <w:lang w:val="en-GB"/>
        </w:rPr>
      </w:pPr>
      <w:r w:rsidRPr="00E2486C">
        <w:rPr>
          <w:b/>
          <w:color w:val="D7337F"/>
          <w:sz w:val="22"/>
          <w:szCs w:val="22"/>
          <w:lang w:val="en-GB"/>
        </w:rPr>
        <w:t>Keep them involved and informed</w:t>
      </w:r>
      <w:r w:rsidRPr="00E2486C">
        <w:rPr>
          <w:color w:val="D7337F"/>
          <w:sz w:val="22"/>
          <w:szCs w:val="22"/>
          <w:lang w:val="en-GB"/>
        </w:rPr>
        <w:t> </w:t>
      </w:r>
      <w:r w:rsidRPr="007261E7">
        <w:rPr>
          <w:sz w:val="22"/>
          <w:szCs w:val="22"/>
          <w:lang w:val="en-GB"/>
        </w:rPr>
        <w:t>- Make sure to share short and informative updates with them on a regular basis.</w:t>
      </w:r>
    </w:p>
    <w:p w14:paraId="1082EB7C" w14:textId="77777777" w:rsidR="003F38BC" w:rsidRPr="007261E7" w:rsidRDefault="003F38BC" w:rsidP="0037056E">
      <w:pPr>
        <w:pStyle w:val="BulletPoint"/>
        <w:rPr>
          <w:sz w:val="22"/>
          <w:szCs w:val="22"/>
          <w:lang w:val="en-GB"/>
        </w:rPr>
      </w:pPr>
      <w:r w:rsidRPr="00E2486C">
        <w:rPr>
          <w:b/>
          <w:color w:val="D7337F"/>
          <w:sz w:val="22"/>
          <w:szCs w:val="22"/>
          <w:lang w:val="en-GB"/>
        </w:rPr>
        <w:t xml:space="preserve">Provide quality content for them to share with others </w:t>
      </w:r>
      <w:r w:rsidRPr="007261E7">
        <w:rPr>
          <w:sz w:val="22"/>
          <w:szCs w:val="22"/>
          <w:lang w:val="en-GB"/>
        </w:rPr>
        <w:t>– leadership will value being able to share updates with other organisations and gaining visibility of the efforts</w:t>
      </w:r>
    </w:p>
    <w:p w14:paraId="432DD06A" w14:textId="77777777" w:rsidR="00A62E70" w:rsidRPr="007261E7" w:rsidRDefault="00A62E70" w:rsidP="00071A8B">
      <w:pPr>
        <w:pStyle w:val="H1"/>
        <w:rPr>
          <w:lang w:val="en-GB"/>
        </w:rPr>
      </w:pPr>
    </w:p>
    <w:sectPr w:rsidR="00A62E70" w:rsidRPr="007261E7" w:rsidSect="00016869">
      <w:headerReference w:type="default" r:id="rId10"/>
      <w:footerReference w:type="even" r:id="rId11"/>
      <w:footerReference w:type="default" r:id="rId12"/>
      <w:headerReference w:type="first" r:id="rId13"/>
      <w:footerReference w:type="first" r:id="rId14"/>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02B2" w14:textId="77777777" w:rsidR="008C6989" w:rsidRDefault="008C6989" w:rsidP="00061220">
      <w:r>
        <w:separator/>
      </w:r>
    </w:p>
  </w:endnote>
  <w:endnote w:type="continuationSeparator" w:id="0">
    <w:p w14:paraId="612BE0D8" w14:textId="77777777" w:rsidR="008C6989" w:rsidRDefault="008C6989"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051CDC43" w:rsidR="00CF58BD" w:rsidRDefault="00C120EB"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3F3AB7C1" wp14:editId="6C7A3541">
              <wp:simplePos x="0" y="0"/>
              <wp:positionH relativeFrom="page">
                <wp:posOffset>0</wp:posOffset>
              </wp:positionH>
              <wp:positionV relativeFrom="page">
                <wp:posOffset>10227945</wp:posOffset>
              </wp:positionV>
              <wp:extent cx="7560310" cy="273050"/>
              <wp:effectExtent l="0" t="0" r="0" b="12700"/>
              <wp:wrapNone/>
              <wp:docPr id="1" name="MSIPCMcf87408488c3937d7035f3ae"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0883F5" w14:textId="25406692" w:rsidR="00C120EB" w:rsidRPr="00C120EB" w:rsidRDefault="00C120EB" w:rsidP="00C120EB">
                          <w:pPr>
                            <w:rPr>
                              <w:rFonts w:ascii="Calibri" w:hAnsi="Calibri" w:cs="Calibri"/>
                              <w:color w:val="000000"/>
                              <w:sz w:val="20"/>
                            </w:rPr>
                          </w:pPr>
                          <w:r w:rsidRPr="00C120EB">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3AB7C1" id="_x0000_t202" coordsize="21600,21600" o:spt="202" path="m,l,21600r21600,l21600,xe">
              <v:stroke joinstyle="miter"/>
              <v:path gradientshapeok="t" o:connecttype="rect"/>
            </v:shapetype>
            <v:shape id="MSIPCMcf87408488c3937d7035f3ae"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650883F5" w14:textId="25406692" w:rsidR="00C120EB" w:rsidRPr="00C120EB" w:rsidRDefault="00C120EB" w:rsidP="00C120EB">
                    <w:pPr>
                      <w:rPr>
                        <w:rFonts w:ascii="Calibri" w:hAnsi="Calibri" w:cs="Calibri"/>
                        <w:color w:val="000000"/>
                        <w:sz w:val="20"/>
                      </w:rPr>
                    </w:pPr>
                    <w:r w:rsidRPr="00C120EB">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036F8"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9D6E6"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42242E96" w:rsidR="00CF58BD" w:rsidRDefault="00C120EB"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011C1400" wp14:editId="3C47B0BF">
              <wp:simplePos x="0" y="0"/>
              <wp:positionH relativeFrom="page">
                <wp:posOffset>0</wp:posOffset>
              </wp:positionH>
              <wp:positionV relativeFrom="page">
                <wp:posOffset>10227945</wp:posOffset>
              </wp:positionV>
              <wp:extent cx="7560310" cy="273050"/>
              <wp:effectExtent l="0" t="0" r="0" b="12700"/>
              <wp:wrapNone/>
              <wp:docPr id="2" name="MSIPCM699a463aaa1a056ec21077a6"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4F4CEB" w14:textId="14BAA045" w:rsidR="00C120EB" w:rsidRPr="00C120EB" w:rsidRDefault="00C120EB" w:rsidP="00C120EB">
                          <w:pPr>
                            <w:rPr>
                              <w:rFonts w:ascii="Calibri" w:hAnsi="Calibri" w:cs="Calibri"/>
                              <w:color w:val="000000"/>
                              <w:sz w:val="20"/>
                            </w:rPr>
                          </w:pPr>
                          <w:r w:rsidRPr="00C120EB">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1C1400" id="_x0000_t202" coordsize="21600,21600" o:spt="202" path="m,l,21600r21600,l21600,xe">
              <v:stroke joinstyle="miter"/>
              <v:path gradientshapeok="t" o:connecttype="rect"/>
            </v:shapetype>
            <v:shape id="MSIPCM699a463aaa1a056ec21077a6"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6D4F4CEB" w14:textId="14BAA045" w:rsidR="00C120EB" w:rsidRPr="00C120EB" w:rsidRDefault="00C120EB" w:rsidP="00C120EB">
                    <w:pPr>
                      <w:rPr>
                        <w:rFonts w:ascii="Calibri" w:hAnsi="Calibri" w:cs="Calibri"/>
                        <w:color w:val="000000"/>
                        <w:sz w:val="20"/>
                      </w:rPr>
                    </w:pPr>
                    <w:r w:rsidRPr="00C120EB">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AA403"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98F2F"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DCAC" w14:textId="77777777" w:rsidR="008C6989" w:rsidRPr="00C64CF2" w:rsidRDefault="008C6989" w:rsidP="00061220">
      <w:pPr>
        <w:rPr>
          <w:color w:val="873174"/>
        </w:rPr>
      </w:pPr>
      <w:r w:rsidRPr="00C64CF2">
        <w:rPr>
          <w:color w:val="873174"/>
        </w:rPr>
        <w:separator/>
      </w:r>
    </w:p>
  </w:footnote>
  <w:footnote w:type="continuationSeparator" w:id="0">
    <w:p w14:paraId="3FA637A2" w14:textId="77777777" w:rsidR="008C6989" w:rsidRDefault="008C6989"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15CD69D5" w:rsidR="000E3346" w:rsidRPr="00E14AFA" w:rsidRDefault="000E3346" w:rsidP="00016869">
    <w:pPr>
      <w:pStyle w:val="TOOLTITLE"/>
      <w:ind w:left="-450" w:right="76" w:firstLine="0"/>
      <w:rPr>
        <w:lang w:val="en-US"/>
      </w:rPr>
    </w:pPr>
    <w:r w:rsidRPr="00016869">
      <w:rPr>
        <w:b w:val="0"/>
        <w:bCs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016869" w:rsidRPr="00016869">
      <w:rPr>
        <w:b w:val="0"/>
        <w:bCs w:val="0"/>
        <w:lang w:val="en-US"/>
      </w:rPr>
      <w:t xml:space="preserve">FEEDBACK TOOL 1: </w:t>
    </w:r>
    <w:r w:rsidR="00E14AFA" w:rsidRPr="00E14AFA">
      <w:rPr>
        <w:lang w:val="en-US"/>
      </w:rPr>
      <w:t>TIPS FOR CREATING LEADERSHIP BUY-IN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1AAA1099"/>
    <w:multiLevelType w:val="multilevel"/>
    <w:tmpl w:val="D2D6D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86816"/>
    <w:multiLevelType w:val="multilevel"/>
    <w:tmpl w:val="9D22A4C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524" w:hanging="444"/>
      </w:pPr>
      <w:rPr>
        <w:rFonts w:ascii="Open Sans" w:eastAsia="Open Sans" w:hAnsi="Open Sans" w:cs="Open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CE39EF"/>
    <w:multiLevelType w:val="multilevel"/>
    <w:tmpl w:val="96A81616"/>
    <w:lvl w:ilvl="0">
      <w:start w:val="1"/>
      <w:numFmt w:val="decimal"/>
      <w:lvlText w:val="%1."/>
      <w:lvlJc w:val="left"/>
      <w:pPr>
        <w:ind w:left="360" w:hanging="360"/>
      </w:pPr>
      <w:rPr>
        <w:rFonts w:ascii="Montserrat" w:eastAsia="Montserrat" w:hAnsi="Montserrat" w:cs="Montserra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DF01E8"/>
    <w:multiLevelType w:val="multilevel"/>
    <w:tmpl w:val="8BF6F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68E30FCE"/>
    <w:multiLevelType w:val="hybridMultilevel"/>
    <w:tmpl w:val="0720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69778863">
    <w:abstractNumId w:val="13"/>
  </w:num>
  <w:num w:numId="2" w16cid:durableId="1331637221">
    <w:abstractNumId w:val="20"/>
  </w:num>
  <w:num w:numId="3" w16cid:durableId="162741700">
    <w:abstractNumId w:val="21"/>
  </w:num>
  <w:num w:numId="4" w16cid:durableId="587080440">
    <w:abstractNumId w:val="19"/>
  </w:num>
  <w:num w:numId="5" w16cid:durableId="128597034">
    <w:abstractNumId w:val="23"/>
  </w:num>
  <w:num w:numId="6" w16cid:durableId="1914587069">
    <w:abstractNumId w:val="14"/>
  </w:num>
  <w:num w:numId="7" w16cid:durableId="301734460">
    <w:abstractNumId w:val="15"/>
  </w:num>
  <w:num w:numId="8" w16cid:durableId="1697122991">
    <w:abstractNumId w:val="4"/>
  </w:num>
  <w:num w:numId="9" w16cid:durableId="68773042">
    <w:abstractNumId w:val="5"/>
  </w:num>
  <w:num w:numId="10" w16cid:durableId="2114861305">
    <w:abstractNumId w:val="6"/>
  </w:num>
  <w:num w:numId="11" w16cid:durableId="233978453">
    <w:abstractNumId w:val="7"/>
  </w:num>
  <w:num w:numId="12" w16cid:durableId="881132546">
    <w:abstractNumId w:val="9"/>
  </w:num>
  <w:num w:numId="13" w16cid:durableId="57292237">
    <w:abstractNumId w:val="0"/>
  </w:num>
  <w:num w:numId="14" w16cid:durableId="40639132">
    <w:abstractNumId w:val="1"/>
  </w:num>
  <w:num w:numId="15" w16cid:durableId="99226760">
    <w:abstractNumId w:val="2"/>
  </w:num>
  <w:num w:numId="16" w16cid:durableId="274754964">
    <w:abstractNumId w:val="3"/>
  </w:num>
  <w:num w:numId="17" w16cid:durableId="1217397839">
    <w:abstractNumId w:val="8"/>
  </w:num>
  <w:num w:numId="18" w16cid:durableId="420688418">
    <w:abstractNumId w:val="10"/>
  </w:num>
  <w:num w:numId="19" w16cid:durableId="385568728">
    <w:abstractNumId w:val="12"/>
  </w:num>
  <w:num w:numId="20" w16cid:durableId="2071414891">
    <w:abstractNumId w:val="11"/>
  </w:num>
  <w:num w:numId="21" w16cid:durableId="2030837656">
    <w:abstractNumId w:val="17"/>
  </w:num>
  <w:num w:numId="22" w16cid:durableId="877739033">
    <w:abstractNumId w:val="16"/>
  </w:num>
  <w:num w:numId="23" w16cid:durableId="1235774760">
    <w:abstractNumId w:val="18"/>
  </w:num>
  <w:num w:numId="24" w16cid:durableId="8070919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16869"/>
    <w:rsid w:val="000576AE"/>
    <w:rsid w:val="00061220"/>
    <w:rsid w:val="00071A8B"/>
    <w:rsid w:val="000E3346"/>
    <w:rsid w:val="00121C14"/>
    <w:rsid w:val="001D73D0"/>
    <w:rsid w:val="0022707B"/>
    <w:rsid w:val="00266931"/>
    <w:rsid w:val="0030145C"/>
    <w:rsid w:val="0037056E"/>
    <w:rsid w:val="003F38BC"/>
    <w:rsid w:val="004B4F99"/>
    <w:rsid w:val="004C4C89"/>
    <w:rsid w:val="00543096"/>
    <w:rsid w:val="0057554B"/>
    <w:rsid w:val="005A333E"/>
    <w:rsid w:val="005D178C"/>
    <w:rsid w:val="005D42F9"/>
    <w:rsid w:val="00603D71"/>
    <w:rsid w:val="006A31BB"/>
    <w:rsid w:val="006C7E18"/>
    <w:rsid w:val="007261E7"/>
    <w:rsid w:val="00765849"/>
    <w:rsid w:val="007C546C"/>
    <w:rsid w:val="007D7E49"/>
    <w:rsid w:val="008C6989"/>
    <w:rsid w:val="0091601F"/>
    <w:rsid w:val="00916A30"/>
    <w:rsid w:val="009917EA"/>
    <w:rsid w:val="00993E7D"/>
    <w:rsid w:val="00A07325"/>
    <w:rsid w:val="00A62E70"/>
    <w:rsid w:val="00AD751C"/>
    <w:rsid w:val="00AE7C26"/>
    <w:rsid w:val="00AF53A4"/>
    <w:rsid w:val="00B00FA1"/>
    <w:rsid w:val="00B34D8B"/>
    <w:rsid w:val="00B51208"/>
    <w:rsid w:val="00B7301E"/>
    <w:rsid w:val="00BE306E"/>
    <w:rsid w:val="00BF4DD1"/>
    <w:rsid w:val="00BF72FB"/>
    <w:rsid w:val="00C120EB"/>
    <w:rsid w:val="00C14D1E"/>
    <w:rsid w:val="00C30C1C"/>
    <w:rsid w:val="00C33C82"/>
    <w:rsid w:val="00C64CF2"/>
    <w:rsid w:val="00CA5CC2"/>
    <w:rsid w:val="00CA774A"/>
    <w:rsid w:val="00CC24BD"/>
    <w:rsid w:val="00CE6B25"/>
    <w:rsid w:val="00CF58BD"/>
    <w:rsid w:val="00D84F03"/>
    <w:rsid w:val="00E14AFA"/>
    <w:rsid w:val="00E2486C"/>
    <w:rsid w:val="00E52B1F"/>
    <w:rsid w:val="00F31BA9"/>
    <w:rsid w:val="00F8189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2.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3.xml><?xml version="1.0" encoding="utf-8"?>
<ds:datastoreItem xmlns:ds="http://schemas.openxmlformats.org/officeDocument/2006/customXml" ds:itemID="{46FFF750-C86E-4307-8282-0D372A8A5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804</Words>
  <Characters>4588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16</cp:revision>
  <dcterms:created xsi:type="dcterms:W3CDTF">2022-09-28T08:07:00Z</dcterms:created>
  <dcterms:modified xsi:type="dcterms:W3CDTF">2022-10-19T03:24:00Z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2022-09-28T08:07:00Z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5996be61-2be3-4154-ba5d-ebb85fcdab8d</vt:lpwstr>
  </property>
  <property fmtid="{D5CDD505-2E9C-101B-9397-08002B2CF9AE}" pid="8" name="MSIP_Label_caf3f7fd-5cd4-4287-9002-aceb9af13c42_ContentBits">
    <vt:lpwstr>2</vt:lpwstr>
  </property>
</Properties>
</file>