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2AF4" w14:textId="77777777" w:rsidR="00E07475" w:rsidRPr="00B10270" w:rsidRDefault="00E07475" w:rsidP="00E07475">
      <w:pPr>
        <w:pStyle w:val="Heading1"/>
        <w:bidi/>
        <w:spacing w:after="120"/>
        <w:jc w:val="lowKashida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bookmarkStart w:id="1" w:name="_Hlk148462899"/>
      <w:r w:rsidRPr="00B10270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B10270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B10270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B10270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B10270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B10270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bookmarkEnd w:id="0"/>
      <w:r w:rsidRPr="00B10270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</w:p>
    <w:p w14:paraId="49DEA031" w14:textId="77777777" w:rsidR="00E07475" w:rsidRPr="0014607C" w:rsidRDefault="00E07475" w:rsidP="00E07475">
      <w:pPr>
        <w:bidi/>
        <w:spacing w:after="0"/>
        <w:jc w:val="lowKashida"/>
        <w:rPr>
          <w:rFonts w:asciiTheme="minorHAnsi" w:hAnsiTheme="minorHAnsi" w:cstheme="minorHAnsi"/>
          <w:lang w:eastAsia="x-none"/>
        </w:rPr>
      </w:pPr>
    </w:p>
    <w:p w14:paraId="7CB45190" w14:textId="77777777" w:rsidR="00E07475" w:rsidRPr="0014607C" w:rsidRDefault="00E07475" w:rsidP="00E07475">
      <w:pPr>
        <w:bidi/>
        <w:jc w:val="lowKashida"/>
        <w:rPr>
          <w:rFonts w:asciiTheme="minorHAnsi" w:hAnsiTheme="minorHAnsi" w:cstheme="minorHAnsi"/>
          <w:b/>
          <w:bCs/>
          <w:sz w:val="32"/>
          <w:szCs w:val="32"/>
          <w:rtl/>
        </w:rPr>
      </w:pPr>
      <w:r w:rsidRPr="0014607C">
        <w:rPr>
          <w:rFonts w:asciiTheme="minorHAnsi" w:hAnsiTheme="minorHAnsi" w:cstheme="minorHAnsi"/>
          <w:b/>
          <w:bCs/>
          <w:sz w:val="32"/>
          <w:szCs w:val="32"/>
          <w:rtl/>
        </w:rPr>
        <w:t>المهمة رقم 1: فهم السياق المجتمعي</w:t>
      </w:r>
    </w:p>
    <w:p w14:paraId="2CA9F261" w14:textId="77777777" w:rsidR="00E07475" w:rsidRPr="0014607C" w:rsidRDefault="00E07475" w:rsidP="00E07475">
      <w:pPr>
        <w:bidi/>
        <w:jc w:val="lowKashida"/>
        <w:rPr>
          <w:rFonts w:asciiTheme="minorHAnsi" w:hAnsiTheme="minorHAnsi" w:cstheme="minorHAnsi"/>
          <w:b/>
          <w:bCs/>
          <w:rtl/>
          <w:lang w:val="en-US" w:eastAsia="x-none" w:bidi="ar-JO"/>
        </w:rPr>
      </w:pPr>
      <w:r w:rsidRPr="0014607C">
        <w:rPr>
          <w:rFonts w:asciiTheme="minorHAnsi" w:hAnsiTheme="minorHAnsi" w:cstheme="minorHAnsi"/>
          <w:b/>
          <w:bCs/>
          <w:color w:val="FF0000"/>
          <w:rtl/>
        </w:rPr>
        <w:t xml:space="preserve"> </w:t>
      </w:r>
      <w:r w:rsidRPr="0014607C">
        <w:rPr>
          <w:rFonts w:asciiTheme="minorHAnsi" w:hAnsiTheme="minorHAnsi" w:cstheme="minorHAnsi"/>
          <w:b/>
          <w:bCs/>
          <w:rtl/>
          <w:lang w:val="en-US" w:eastAsia="x-none" w:bidi="ar-JO"/>
        </w:rPr>
        <w:t>الموقف</w:t>
      </w:r>
    </w:p>
    <w:p w14:paraId="0EC450D4" w14:textId="77777777" w:rsidR="00E07475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شمال شرق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المناطق الحضرية،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الإسهال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07598B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1C5D8379" w14:textId="77777777" w:rsidR="00E07475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4A89841C" w14:textId="77777777" w:rsidR="00E07475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هو نوع جديد من انفلونزا الطيور،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189E0722" w14:textId="77777777" w:rsidR="00E07475" w:rsidRDefault="00E07475" w:rsidP="00E07475">
      <w:p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lang w:bidi="ar-JO"/>
        </w:rPr>
      </w:pPr>
    </w:p>
    <w:p w14:paraId="0184587B" w14:textId="77777777" w:rsidR="00E07475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تشمل البيانات الثانوية ما يلي: </w:t>
      </w:r>
    </w:p>
    <w:p w14:paraId="4D4311D8" w14:textId="77777777" w:rsidR="00E07475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bidi="ar-JO"/>
        </w:rPr>
      </w:pPr>
    </w:p>
    <w:p w14:paraId="211056ED" w14:textId="77777777" w:rsidR="00E07475" w:rsidRPr="0007598B" w:rsidRDefault="00E07475" w:rsidP="00E07475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0AE37DAB" w14:textId="77777777" w:rsidR="00E07475" w:rsidRPr="00AC69D7" w:rsidRDefault="00E07475" w:rsidP="00E07475">
      <w:pPr>
        <w:pStyle w:val="ListParagraph"/>
        <w:numPr>
          <w:ilvl w:val="0"/>
          <w:numId w:val="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جديدة وأكثر عدوى من فيروسات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الحالية.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5458CC1B" w14:textId="77777777" w:rsidR="00E07475" w:rsidRPr="00AC69D7" w:rsidRDefault="00E07475" w:rsidP="00E07475">
      <w:pPr>
        <w:pStyle w:val="ListParagraph"/>
        <w:numPr>
          <w:ilvl w:val="0"/>
          <w:numId w:val="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AC69D7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6D9B107B" w14:textId="77777777" w:rsidR="00E07475" w:rsidRPr="00AC69D7" w:rsidRDefault="00E07475" w:rsidP="00E07475">
      <w:pPr>
        <w:pStyle w:val="ListParagraph"/>
        <w:numPr>
          <w:ilvl w:val="0"/>
          <w:numId w:val="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p w14:paraId="70D4355E" w14:textId="77777777" w:rsidR="00E07475" w:rsidRPr="00B10270" w:rsidRDefault="00E07475" w:rsidP="00E07475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</w:pPr>
    </w:p>
    <w:p w14:paraId="18104C90" w14:textId="77777777" w:rsidR="00E07475" w:rsidRPr="0014607C" w:rsidRDefault="00E07475" w:rsidP="00E07475">
      <w:p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4455FC11" w14:textId="77777777" w:rsidR="00E07475" w:rsidRPr="0007598B" w:rsidRDefault="00E07475" w:rsidP="00E074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</w:pPr>
      <w:bookmarkStart w:id="2" w:name="_Hlk145511784"/>
      <w:bookmarkStart w:id="3" w:name="_Hlk145511505"/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المهمة رقم 1: فهم </w:t>
      </w:r>
      <w:r w:rsidRPr="00B10270">
        <w:rPr>
          <w:rFonts w:asciiTheme="minorHAnsi" w:hAnsiTheme="minorHAnsi" w:cstheme="minorHAnsi" w:hint="cs"/>
          <w:b/>
          <w:bCs/>
          <w:sz w:val="28"/>
          <w:szCs w:val="28"/>
          <w:rtl/>
        </w:rPr>
        <w:t>ال</w:t>
      </w:r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>سياق المجتمع</w:t>
      </w:r>
      <w:r w:rsidRPr="00B10270">
        <w:rPr>
          <w:rFonts w:asciiTheme="minorHAnsi" w:hAnsiTheme="minorHAnsi" w:cstheme="minorHAnsi" w:hint="cs"/>
          <w:b/>
          <w:bCs/>
          <w:sz w:val="28"/>
          <w:szCs w:val="28"/>
          <w:rtl/>
        </w:rPr>
        <w:t>ي</w:t>
      </w:r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</w:t>
      </w:r>
      <w:bookmarkEnd w:id="2"/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>(20 دقيقة)</w:t>
      </w:r>
    </w:p>
    <w:p w14:paraId="31B3E427" w14:textId="77777777" w:rsidR="00E07475" w:rsidRPr="0007598B" w:rsidRDefault="00E07475" w:rsidP="00E074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</w:pPr>
      <w:bookmarkStart w:id="4" w:name="_Hlk145511554"/>
      <w:bookmarkEnd w:id="3"/>
      <w:r>
        <w:rPr>
          <w:rFonts w:asciiTheme="minorHAnsi" w:hAnsiTheme="minorHAnsi" w:cstheme="minorHAnsi" w:hint="cs"/>
          <w:b/>
          <w:bCs/>
          <w:sz w:val="24"/>
          <w:szCs w:val="24"/>
          <w:rtl/>
        </w:rPr>
        <w:lastRenderedPageBreak/>
        <w:t>ي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</w:rPr>
        <w:t>نظم الصليب الأحمر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 التابع لأليكسا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تقييما في المناطق الحضرية</w:t>
      </w:r>
      <w:r w:rsidRPr="000759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لمساعدتهم على تخطيط مناهج الإبلاغ عن المخاطر والمشاركة المجتمعية 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المتعلقة بالاستجابة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. وبناءُ على البيانات الموجودة لديك: </w:t>
      </w:r>
    </w:p>
    <w:p w14:paraId="5D448D0C" w14:textId="77777777" w:rsidR="00E07475" w:rsidRPr="0007598B" w:rsidRDefault="00E07475" w:rsidP="00E07475">
      <w:pPr>
        <w:pStyle w:val="BodyText2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598B">
        <w:rPr>
          <w:rFonts w:asciiTheme="minorHAnsi" w:hAnsiTheme="minorHAnsi" w:cstheme="minorHAnsi"/>
          <w:sz w:val="24"/>
          <w:szCs w:val="24"/>
          <w:rtl/>
        </w:rPr>
        <w:t xml:space="preserve">ما هي المعلومات التي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يحتاجها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الصليب الأحمر</w:t>
      </w:r>
      <w:r>
        <w:rPr>
          <w:rFonts w:asciiTheme="minorHAnsi" w:hAnsiTheme="minorHAnsi" w:cstheme="minorHAnsi" w:hint="cs"/>
          <w:sz w:val="24"/>
          <w:szCs w:val="24"/>
          <w:rtl/>
        </w:rPr>
        <w:t xml:space="preserve"> في أليكسا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في التقييم </w:t>
      </w:r>
      <w:r>
        <w:rPr>
          <w:rFonts w:asciiTheme="minorHAnsi" w:hAnsiTheme="minorHAnsi" w:cstheme="minorHAnsi" w:hint="cs"/>
          <w:sz w:val="24"/>
          <w:szCs w:val="24"/>
          <w:rtl/>
        </w:rPr>
        <w:t>لمساعدته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على فهم السياق الحالي والتخطيط لنهج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الإبلاغ عن المخاطر والمشاركة المجتمعية الفعال؟</w:t>
      </w:r>
    </w:p>
    <w:p w14:paraId="3BAEE669" w14:textId="1F3A6265" w:rsidR="00E07475" w:rsidRPr="00E07475" w:rsidRDefault="00E07475" w:rsidP="00E07475">
      <w:pPr>
        <w:pStyle w:val="BodyText2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rtl/>
        </w:rPr>
      </w:pPr>
      <w:bookmarkStart w:id="5" w:name="_Hlk145511565"/>
      <w:bookmarkEnd w:id="4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ما هي الطرق التي يمكن استخدامها لجمع هذه المعلومات؟</w:t>
      </w:r>
      <w:bookmarkEnd w:id="5"/>
    </w:p>
    <w:p w14:paraId="4DDFD1DD" w14:textId="415A2E4C" w:rsidR="00A82CA7" w:rsidRPr="00563DE9" w:rsidRDefault="004A7BEC" w:rsidP="00E074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after="120" w:line="276" w:lineRule="auto"/>
        <w:jc w:val="both"/>
        <w:rPr>
          <w:rFonts w:asciiTheme="minorHAnsi" w:eastAsia="Roboto" w:hAnsiTheme="minorHAnsi" w:cstheme="minorHAnsi"/>
          <w:sz w:val="22"/>
          <w:rtl/>
          <w:lang w:val="en-GB"/>
        </w:rPr>
      </w:pPr>
      <w:r w:rsidRPr="00563DE9">
        <w:rPr>
          <w:rFonts w:asciiTheme="minorHAnsi" w:eastAsia="Roboto" w:hAnsiTheme="minorHAnsi" w:cstheme="minorHAnsi"/>
          <w:sz w:val="22"/>
          <w:rtl/>
          <w:lang w:val="en-GB"/>
        </w:rPr>
        <w:t>استخدم</w:t>
      </w:r>
      <w:r w:rsidRPr="00563DE9">
        <w:rPr>
          <w:rFonts w:asciiTheme="minorHAnsi" w:hAnsiTheme="minorHAnsi" w:cstheme="minorHAnsi"/>
          <w:sz w:val="22"/>
          <w:rtl/>
          <w:lang w:bidi="ar-JO"/>
        </w:rPr>
        <w:t xml:space="preserve"> الإجراءات الدنيا</w:t>
      </w:r>
      <w:r w:rsidR="00391323" w:rsidRPr="00563DE9">
        <w:rPr>
          <w:rFonts w:asciiTheme="minorHAnsi" w:hAnsiTheme="minorHAnsi" w:cstheme="minorHAnsi"/>
          <w:sz w:val="22"/>
          <w:rtl/>
          <w:lang w:bidi="ar-JO"/>
        </w:rPr>
        <w:t xml:space="preserve"> للمشاركة المجتمعية</w:t>
      </w:r>
      <w:r w:rsidRPr="00563DE9">
        <w:rPr>
          <w:rFonts w:asciiTheme="minorHAnsi" w:hAnsiTheme="minorHAnsi" w:cstheme="minorHAnsi"/>
          <w:sz w:val="22"/>
          <w:rtl/>
          <w:lang w:bidi="ar-JO"/>
        </w:rPr>
        <w:t xml:space="preserve"> في</w:t>
      </w:r>
      <w:r w:rsidR="00391323" w:rsidRPr="00563DE9">
        <w:rPr>
          <w:rFonts w:asciiTheme="minorHAnsi" w:hAnsiTheme="minorHAnsi" w:cstheme="minorHAnsi"/>
          <w:sz w:val="22"/>
          <w:rtl/>
          <w:lang w:bidi="ar-JO"/>
        </w:rPr>
        <w:t xml:space="preserve"> تقييمات</w:t>
      </w:r>
      <w:r w:rsidRPr="00563DE9">
        <w:rPr>
          <w:rFonts w:asciiTheme="minorHAnsi" w:hAnsiTheme="minorHAnsi" w:cstheme="minorHAnsi"/>
          <w:sz w:val="22"/>
          <w:rtl/>
          <w:lang w:bidi="ar-JO"/>
        </w:rPr>
        <w:t xml:space="preserve"> حالات الطوارئ</w:t>
      </w:r>
      <w:r w:rsidR="00391323" w:rsidRPr="00563DE9">
        <w:rPr>
          <w:rFonts w:asciiTheme="minorHAnsi" w:hAnsiTheme="minorHAnsi" w:cstheme="minorHAnsi"/>
          <w:sz w:val="22"/>
          <w:rtl/>
          <w:lang w:bidi="ar-JO"/>
        </w:rPr>
        <w:t xml:space="preserve"> و</w:t>
      </w:r>
      <w:hyperlink r:id="rId7" w:history="1">
        <w:r w:rsidR="00391323" w:rsidRPr="00563DE9">
          <w:rPr>
            <w:rStyle w:val="Hyperlink"/>
            <w:rFonts w:asciiTheme="minorHAnsi" w:hAnsiTheme="minorHAnsi" w:cstheme="minorHAnsi"/>
            <w:sz w:val="22"/>
            <w:rtl/>
            <w:lang w:bidi="ar-JO"/>
          </w:rPr>
          <w:t>الأداة 13: المشاركة المجتمعية والمساءلة في التقييمات</w:t>
        </w:r>
      </w:hyperlink>
    </w:p>
    <w:bookmarkEnd w:id="1"/>
    <w:p w14:paraId="4EAB4133" w14:textId="77777777" w:rsidR="00A047B1" w:rsidRDefault="00A047B1" w:rsidP="00E07475">
      <w:pPr>
        <w:bidi/>
        <w:rPr>
          <w:rFonts w:asciiTheme="minorHAnsi" w:hAnsiTheme="minorHAnsi" w:cstheme="minorHAnsi"/>
          <w:rtl/>
        </w:rPr>
      </w:pPr>
    </w:p>
    <w:p w14:paraId="2DBBDC0C" w14:textId="77777777" w:rsidR="00E07475" w:rsidRPr="00563DE9" w:rsidRDefault="00E07475" w:rsidP="00E07475">
      <w:pPr>
        <w:bidi/>
        <w:rPr>
          <w:rFonts w:asciiTheme="minorHAnsi" w:hAnsiTheme="minorHAnsi" w:cstheme="minorHAnsi"/>
        </w:rPr>
      </w:pPr>
    </w:p>
    <w:sectPr w:rsidR="00E07475" w:rsidRPr="00563DE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7CE22" w14:textId="77777777" w:rsidR="000F4C19" w:rsidRDefault="000F4C19" w:rsidP="00AF57B3">
      <w:pPr>
        <w:spacing w:after="0" w:line="240" w:lineRule="auto"/>
      </w:pPr>
      <w:r>
        <w:separator/>
      </w:r>
    </w:p>
  </w:endnote>
  <w:endnote w:type="continuationSeparator" w:id="0">
    <w:p w14:paraId="6C68FC01" w14:textId="77777777" w:rsidR="000F4C19" w:rsidRDefault="000F4C19" w:rsidP="00AF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DDD" w14:textId="0E6DAB0C" w:rsidR="00E432A7" w:rsidRPr="005C779F" w:rsidRDefault="005C779F" w:rsidP="00E432A7">
    <w:pPr>
      <w:pStyle w:val="Footer"/>
      <w:bidi/>
      <w:rPr>
        <w:rFonts w:asciiTheme="minorHAnsi" w:hAnsiTheme="minorHAnsi" w:cstheme="minorHAnsi"/>
        <w:sz w:val="20"/>
        <w:szCs w:val="20"/>
        <w:lang w:bidi="ar-JO"/>
      </w:rPr>
    </w:pPr>
    <w:r w:rsidRPr="005C779F">
      <w:rPr>
        <w:rFonts w:asciiTheme="minorHAnsi" w:hAnsiTheme="minorHAnsi" w:cstheme="minorHAnsi"/>
        <w:sz w:val="20"/>
        <w:szCs w:val="20"/>
        <w:rtl/>
        <w:lang w:bidi="ar-JO"/>
      </w:rPr>
      <w:t>عام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4968" w14:textId="77777777" w:rsidR="000F4C19" w:rsidRDefault="000F4C19" w:rsidP="00AF57B3">
      <w:pPr>
        <w:spacing w:after="0" w:line="240" w:lineRule="auto"/>
      </w:pPr>
      <w:r>
        <w:separator/>
      </w:r>
    </w:p>
  </w:footnote>
  <w:footnote w:type="continuationSeparator" w:id="0">
    <w:p w14:paraId="41BB1174" w14:textId="77777777" w:rsidR="000F4C19" w:rsidRDefault="000F4C19" w:rsidP="00AF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5C779F" w:rsidRPr="005C779F" w14:paraId="155B8F00" w14:textId="77777777" w:rsidTr="00E33113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37AAD510" w14:textId="77777777" w:rsidR="005C779F" w:rsidRPr="005C779F" w:rsidRDefault="005C779F" w:rsidP="005C779F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5C779F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222ECB4" wp14:editId="70DF9BAA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C22DE3" w14:textId="77777777" w:rsidR="005C779F" w:rsidRPr="003C7BF6" w:rsidRDefault="005C779F" w:rsidP="005C779F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22EC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2BC22DE3" w14:textId="77777777" w:rsidR="005C779F" w:rsidRPr="003C7BF6" w:rsidRDefault="005C779F" w:rsidP="005C779F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5C779F"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2FBC9F74" w14:textId="77777777" w:rsidR="005C779F" w:rsidRPr="005C779F" w:rsidRDefault="005C779F" w:rsidP="005C779F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723DFA68" w14:textId="77777777" w:rsidR="005C779F" w:rsidRPr="005C779F" w:rsidRDefault="005C779F" w:rsidP="005C779F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5C779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4EBC5CBE" w14:textId="77777777" w:rsidR="005C779F" w:rsidRPr="005C779F" w:rsidRDefault="005C779F" w:rsidP="005C779F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 w:rsidRPr="005C779F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 w:rsidRPr="005C779F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 w:rsidRPr="005C779F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 w:rsidRPr="005C779F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 w:rsidRPr="005C779F"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2B3ED3B2" w14:textId="1A2D90F1" w:rsidR="005C779F" w:rsidRPr="005C779F" w:rsidRDefault="005C779F" w:rsidP="005C779F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244C1202" w14:textId="77777777" w:rsidR="005C779F" w:rsidRPr="005C779F" w:rsidRDefault="005C779F" w:rsidP="005C779F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079588EE" w14:textId="77777777" w:rsidR="00AF57B3" w:rsidRPr="005C779F" w:rsidRDefault="00AF57B3" w:rsidP="005C77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6792"/>
    <w:multiLevelType w:val="hybridMultilevel"/>
    <w:tmpl w:val="254C1D04"/>
    <w:lvl w:ilvl="0" w:tplc="1E4A3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F42F5D"/>
    <w:multiLevelType w:val="hybridMultilevel"/>
    <w:tmpl w:val="9B7A44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255334">
    <w:abstractNumId w:val="6"/>
  </w:num>
  <w:num w:numId="2" w16cid:durableId="1238977269">
    <w:abstractNumId w:val="2"/>
  </w:num>
  <w:num w:numId="3" w16cid:durableId="616908582">
    <w:abstractNumId w:val="3"/>
  </w:num>
  <w:num w:numId="4" w16cid:durableId="1890797842">
    <w:abstractNumId w:val="4"/>
  </w:num>
  <w:num w:numId="5" w16cid:durableId="462235019">
    <w:abstractNumId w:val="0"/>
  </w:num>
  <w:num w:numId="6" w16cid:durableId="2030133631">
    <w:abstractNumId w:val="1"/>
  </w:num>
  <w:num w:numId="7" w16cid:durableId="143393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E2"/>
    <w:rsid w:val="000F4C19"/>
    <w:rsid w:val="001A0B30"/>
    <w:rsid w:val="0025043C"/>
    <w:rsid w:val="00391323"/>
    <w:rsid w:val="003E5823"/>
    <w:rsid w:val="004A7BEC"/>
    <w:rsid w:val="00563DE9"/>
    <w:rsid w:val="005C779F"/>
    <w:rsid w:val="00621651"/>
    <w:rsid w:val="00630F05"/>
    <w:rsid w:val="00A047B1"/>
    <w:rsid w:val="00A74C99"/>
    <w:rsid w:val="00A82CA7"/>
    <w:rsid w:val="00AF57B3"/>
    <w:rsid w:val="00BA33E3"/>
    <w:rsid w:val="00CE7CE2"/>
    <w:rsid w:val="00D26B4F"/>
    <w:rsid w:val="00D66D7A"/>
    <w:rsid w:val="00E07475"/>
    <w:rsid w:val="00E4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55151"/>
  <w15:chartTrackingRefBased/>
  <w15:docId w15:val="{4B622FB6-716B-4C71-8AF1-3519A801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7B3"/>
    <w:pPr>
      <w:tabs>
        <w:tab w:val="left" w:pos="6379"/>
      </w:tabs>
    </w:pPr>
    <w:rPr>
      <w:rFonts w:ascii="Roboto" w:eastAsia="Roboto" w:hAnsi="Roboto" w:cs="Roboto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7B3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B3"/>
  </w:style>
  <w:style w:type="paragraph" w:styleId="Footer">
    <w:name w:val="footer"/>
    <w:basedOn w:val="Normal"/>
    <w:link w:val="FooterChar"/>
    <w:uiPriority w:val="99"/>
    <w:unhideWhenUsed/>
    <w:rsid w:val="00AF57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B3"/>
  </w:style>
  <w:style w:type="paragraph" w:styleId="BodyText2">
    <w:name w:val="Body Text 2"/>
    <w:basedOn w:val="Normal"/>
    <w:link w:val="BodyText2Char"/>
    <w:semiHidden/>
    <w:rsid w:val="00AF57B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AF57B3"/>
    <w:rPr>
      <w:rFonts w:ascii="Arial" w:eastAsia="Times New Roman" w:hAnsi="Arial" w:cs="Arial"/>
      <w:kern w:val="0"/>
      <w:sz w:val="20"/>
      <w:shd w:val="clear" w:color="auto" w:fill="E6E6E6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F57B3"/>
    <w:rPr>
      <w:rFonts w:ascii="Montserrat" w:eastAsia="Roboto" w:hAnsi="Montserrat" w:cs="Times New Roman"/>
      <w:b/>
      <w:bCs/>
      <w:kern w:val="0"/>
      <w:sz w:val="36"/>
      <w:szCs w:val="36"/>
      <w:lang w:val="x-none" w:eastAsia="x-none"/>
      <w14:ligatures w14:val="none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AF57B3"/>
    <w:pPr>
      <w:numPr>
        <w:numId w:val="3"/>
      </w:numPr>
      <w:tabs>
        <w:tab w:val="clear" w:pos="6379"/>
      </w:tabs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AF57B3"/>
    <w:rPr>
      <w:rFonts w:ascii="Roboto" w:eastAsia="Roboto" w:hAnsi="Roboto" w:cs="Roboto"/>
      <w:kern w:val="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3913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mmunityengagementhub.org/resource/cea-toolk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473</Words>
  <Characters>2491</Characters>
  <Application>Microsoft Office Word</Application>
  <DocSecurity>0</DocSecurity>
  <Lines>41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 Ebdah</dc:creator>
  <cp:keywords/>
  <dc:description/>
  <cp:lastModifiedBy>montaser obied</cp:lastModifiedBy>
  <cp:revision>13</cp:revision>
  <dcterms:created xsi:type="dcterms:W3CDTF">2023-10-16T17:02:00Z</dcterms:created>
  <dcterms:modified xsi:type="dcterms:W3CDTF">2023-11-07T12:41:00Z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93d4db48-55e8-40d4-ad9e-2ec1ea0db485</vt:lpwstr>
  </property>
</Properties>
</file>