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DA7AD" w14:textId="77777777" w:rsidR="00726559" w:rsidRPr="008A7DE6" w:rsidRDefault="00726559" w:rsidP="00726559">
      <w:pPr>
        <w:spacing w:after="120" w:line="276" w:lineRule="auto"/>
        <w:rPr>
          <w:color w:val="000000" w:themeColor="text1"/>
          <w:rFonts w:ascii="Montserrat" w:eastAsia="Montserrat" w:hAnsi="Montserrat" w:cs="Montserrat"/>
        </w:rPr>
      </w:pPr>
      <w:r>
        <w:rPr>
          <w:b/>
          <w:color w:val="000000" w:themeColor="text1"/>
          <w:rFonts w:ascii="Montserrat" w:hAnsi="Montserrat"/>
        </w:rPr>
        <w:t xml:space="preserve">Instructions pour les animateurs</w:t>
      </w:r>
    </w:p>
    <w:p w14:paraId="21D68AF1" w14:textId="09B8BD5A" w:rsidR="00726559" w:rsidRPr="00726559" w:rsidRDefault="00726559" w:rsidP="00726559">
      <w:pPr>
        <w:pStyle w:val="ListParagraph"/>
        <w:numPr>
          <w:ilvl w:val="0"/>
          <w:numId w:val="2"/>
        </w:numPr>
        <w:spacing w:after="120" w:line="276" w:lineRule="auto"/>
        <w:contextualSpacing w:val="0"/>
        <w:rPr>
          <w:color w:val="000000" w:themeColor="text1"/>
          <w:sz w:val="21"/>
          <w:szCs w:val="21"/>
          <w:rFonts w:ascii="Open Sans" w:hAnsi="Open Sans" w:cs="Open Sans"/>
        </w:rPr>
      </w:pPr>
      <w:r>
        <w:rPr>
          <w:sz w:val="22"/>
          <w:rFonts w:ascii="Open Sans" w:hAnsi="Open Sans"/>
        </w:rPr>
        <w:t xml:space="preserve">Préparez le Jamboard pour le travail de groupe en faisant une copie du </w:t>
      </w:r>
      <w:hyperlink r:id="rId8" w:history="1">
        <w:r>
          <w:rPr>
            <w:rStyle w:val="Hyperlink"/>
            <w:sz w:val="22"/>
            <w:rFonts w:ascii="Open Sans" w:hAnsi="Open Sans"/>
          </w:rPr>
          <w:t xml:space="preserve">modèle Jamboard de 18 actions minimales pour le CEA</w:t>
        </w:r>
      </w:hyperlink>
      <w:r>
        <w:rPr>
          <w:sz w:val="22"/>
          <w:rFonts w:ascii="Open Sans" w:hAnsi="Open Sans"/>
        </w:rPr>
        <w:t xml:space="preserve">.</w:t>
      </w:r>
      <w:r>
        <w:rPr>
          <w:sz w:val="22"/>
          <w:rFonts w:ascii="Open Sans" w:hAnsi="Open Sans"/>
        </w:rPr>
        <w:t xml:space="preserve"> </w:t>
      </w:r>
      <w:r>
        <w:rPr>
          <w:sz w:val="22"/>
          <w:rFonts w:ascii="Open Sans" w:hAnsi="Open Sans"/>
        </w:rPr>
        <w:t xml:space="preserve">Pour ce faire, cliquez sur les trois points en haut à droite de la page et choisissez « Faire une copie ».</w:t>
      </w:r>
      <w:r>
        <w:rPr>
          <w:sz w:val="22"/>
          <w:rFonts w:ascii="Open Sans" w:hAnsi="Open Sans"/>
        </w:rPr>
        <w:t xml:space="preserve"> </w:t>
      </w:r>
      <w:r>
        <w:rPr>
          <w:sz w:val="22"/>
          <w:rFonts w:ascii="Open Sans" w:hAnsi="Open Sans"/>
        </w:rPr>
        <w:t xml:space="preserve">Assurez-vous ensuite que les participants pourront modifier le Jamboard pendant le travail de groupe en cliquant sur « partager », puis en mettant à jour l'accès au lien à « toute personne ayant le lien » et « éditeur ».</w:t>
      </w:r>
      <w:r>
        <w:rPr>
          <w:sz w:val="22"/>
          <w:rFonts w:ascii="Open Sans" w:hAnsi="Open Sans"/>
        </w:rPr>
        <w:t xml:space="preserve"> </w:t>
      </w:r>
      <w:r>
        <w:rPr>
          <w:sz w:val="22"/>
          <w:rFonts w:ascii="Open Sans" w:hAnsi="Open Sans"/>
        </w:rPr>
        <w:t xml:space="preserve">Préparez ce lien pour le déposer dans le chat lors de la session.</w:t>
      </w:r>
      <w:r>
        <w:rPr>
          <w:sz w:val="22"/>
          <w:rFonts w:ascii="Open Sans" w:hAnsi="Open Sans"/>
        </w:rPr>
        <w:t xml:space="preserve">  </w:t>
      </w:r>
    </w:p>
    <w:p w14:paraId="363E8A8C" w14:textId="17AEC783" w:rsidR="00726559" w:rsidRPr="00D75637" w:rsidRDefault="00726559" w:rsidP="00726559">
      <w:pPr>
        <w:pStyle w:val="ListParagraph"/>
        <w:numPr>
          <w:ilvl w:val="0"/>
          <w:numId w:val="2"/>
        </w:numPr>
        <w:spacing w:after="120" w:line="276" w:lineRule="auto"/>
        <w:contextualSpacing w:val="0"/>
        <w:rPr>
          <w:color w:val="000000" w:themeColor="text1"/>
          <w:sz w:val="21"/>
          <w:szCs w:val="21"/>
          <w:rFonts w:ascii="Open Sans" w:hAnsi="Open Sans" w:cs="Open Sans"/>
        </w:rPr>
      </w:pPr>
      <w:r>
        <w:rPr>
          <w:sz w:val="22"/>
          <w:rFonts w:ascii="Open Sans" w:hAnsi="Open Sans"/>
        </w:rPr>
        <w:t xml:space="preserve">Répartissez les participants en quatre groupes de discussion et assurez-vous qu'ils connaissent le numéro de leur groupe afin qu'ils puissent se rendre sur la bonne page du Jamboard.</w:t>
      </w:r>
    </w:p>
    <w:p w14:paraId="3E9CF307" w14:textId="77777777" w:rsidR="00726559" w:rsidRPr="008A7DE6" w:rsidRDefault="00726559" w:rsidP="00726559">
      <w:pPr>
        <w:pStyle w:val="ListParagraph"/>
        <w:numPr>
          <w:ilvl w:val="0"/>
          <w:numId w:val="2"/>
        </w:numPr>
        <w:spacing w:line="276" w:lineRule="auto"/>
        <w:ind w:hanging="357"/>
        <w:contextualSpacing w:val="0"/>
        <w:rPr>
          <w:color w:val="000000" w:themeColor="text1"/>
          <w:sz w:val="22"/>
          <w:szCs w:val="22"/>
          <w:rFonts w:ascii="Open Sans" w:eastAsiaTheme="minorEastAsia" w:hAnsi="Open Sans" w:cs="Open Sans"/>
        </w:rPr>
      </w:pPr>
      <w:r>
        <w:rPr>
          <w:color w:val="000000" w:themeColor="text1"/>
          <w:sz w:val="22"/>
          <w:rFonts w:ascii="Open Sans" w:hAnsi="Open Sans"/>
        </w:rPr>
        <w:t xml:space="preserve">Instructions pour les participants :</w:t>
      </w:r>
    </w:p>
    <w:p w14:paraId="26242537" w14:textId="54985E00" w:rsidR="00726559" w:rsidRPr="00726559" w:rsidRDefault="00726559" w:rsidP="00726559">
      <w:pPr>
        <w:pStyle w:val="ListParagraph"/>
        <w:numPr>
          <w:ilvl w:val="1"/>
          <w:numId w:val="2"/>
        </w:numPr>
        <w:spacing w:line="276" w:lineRule="auto"/>
        <w:ind w:hanging="357"/>
        <w:contextualSpacing w:val="0"/>
        <w:rPr>
          <w:color w:val="000000" w:themeColor="text1"/>
          <w:sz w:val="22"/>
          <w:szCs w:val="22"/>
          <w:rFonts w:ascii="Open Sans" w:eastAsiaTheme="minorEastAsia" w:hAnsi="Open Sans" w:cs="Open Sans"/>
        </w:rPr>
      </w:pPr>
      <w:r>
        <w:rPr>
          <w:color w:val="000000" w:themeColor="text1"/>
          <w:sz w:val="22"/>
          <w:rFonts w:ascii="Open Sans" w:hAnsi="Open Sans"/>
        </w:rPr>
        <w:t xml:space="preserve">Un Jamboard avec les 18 actions minimales pour le CEA dans les situations d'urgence sera partagé dans le chat Zoom.</w:t>
      </w:r>
    </w:p>
    <w:p w14:paraId="3717E8D1" w14:textId="619EA671" w:rsidR="00726559" w:rsidRPr="00726559" w:rsidRDefault="00726559" w:rsidP="00726559">
      <w:pPr>
        <w:pStyle w:val="ListParagraph"/>
        <w:numPr>
          <w:ilvl w:val="1"/>
          <w:numId w:val="2"/>
        </w:numPr>
        <w:spacing w:line="276" w:lineRule="auto"/>
        <w:ind w:hanging="357"/>
        <w:contextualSpacing w:val="0"/>
        <w:rPr>
          <w:color w:val="000000" w:themeColor="text1"/>
          <w:sz w:val="22"/>
          <w:szCs w:val="22"/>
          <w:rFonts w:ascii="Open Sans" w:hAnsi="Open Sans" w:cs="Open Sans"/>
        </w:rPr>
      </w:pPr>
      <w:r>
        <w:rPr>
          <w:color w:val="000000" w:themeColor="text1"/>
          <w:sz w:val="22"/>
          <w:rFonts w:ascii="Open Sans" w:hAnsi="Open Sans"/>
        </w:rPr>
        <w:t xml:space="preserve">Allez sur la page du Jamboard de votre numéro de groupe et décidez si chaque action soutient l'institutionnalisation du CEA ou le CEA dans les programmes</w:t>
      </w:r>
    </w:p>
    <w:p w14:paraId="2B4B7D0F" w14:textId="77777777" w:rsidR="00726559" w:rsidRPr="00726559" w:rsidRDefault="00726559" w:rsidP="00726559">
      <w:pPr>
        <w:pStyle w:val="ListParagraph"/>
        <w:numPr>
          <w:ilvl w:val="1"/>
          <w:numId w:val="2"/>
        </w:numPr>
        <w:spacing w:line="276" w:lineRule="auto"/>
        <w:ind w:hanging="357"/>
        <w:contextualSpacing w:val="0"/>
        <w:rPr>
          <w:color w:val="000000" w:themeColor="text1"/>
          <w:sz w:val="22"/>
          <w:szCs w:val="22"/>
          <w:rFonts w:ascii="Open Sans" w:hAnsi="Open Sans" w:cs="Open Sans"/>
        </w:rPr>
      </w:pPr>
      <w:r>
        <w:rPr>
          <w:color w:val="000000" w:themeColor="text1"/>
          <w:sz w:val="22"/>
          <w:rFonts w:ascii="Open Sans" w:hAnsi="Open Sans"/>
        </w:rPr>
        <w:t xml:space="preserve">Si elle soutient les programmes, décidez si elle doit avoir lieu pendant les évaluations, la planification, la mise en œuvre et le suivi, ou l'évaluation</w:t>
      </w:r>
    </w:p>
    <w:p w14:paraId="745B14AB" w14:textId="0ACFDB29" w:rsidR="00726559" w:rsidRPr="00726559" w:rsidRDefault="00726559" w:rsidP="00726559">
      <w:pPr>
        <w:pStyle w:val="ListParagraph"/>
        <w:numPr>
          <w:ilvl w:val="1"/>
          <w:numId w:val="2"/>
        </w:numPr>
        <w:spacing w:line="276" w:lineRule="auto"/>
        <w:ind w:hanging="357"/>
        <w:contextualSpacing w:val="0"/>
        <w:rPr>
          <w:color w:val="000000" w:themeColor="text1"/>
          <w:sz w:val="22"/>
          <w:szCs w:val="22"/>
          <w:rFonts w:ascii="Open Sans" w:hAnsi="Open Sans" w:cs="Open Sans"/>
        </w:rPr>
      </w:pPr>
      <w:r>
        <w:rPr>
          <w:color w:val="000000" w:themeColor="text1"/>
          <w:sz w:val="22"/>
          <w:rFonts w:ascii="Open Sans" w:hAnsi="Open Sans"/>
        </w:rPr>
        <w:t xml:space="preserve">Collez-la sur la phase correcte du cycle du programme sur votre Jamboard</w:t>
      </w:r>
    </w:p>
    <w:p w14:paraId="4FE072BC" w14:textId="3832FEB6" w:rsidR="00726559" w:rsidRPr="008A7DE6" w:rsidRDefault="00726559" w:rsidP="00726559">
      <w:pPr>
        <w:pStyle w:val="ListParagraph"/>
        <w:numPr>
          <w:ilvl w:val="1"/>
          <w:numId w:val="2"/>
        </w:numPr>
        <w:spacing w:after="120" w:line="276" w:lineRule="auto"/>
        <w:contextualSpacing w:val="0"/>
        <w:rPr>
          <w:color w:val="000000" w:themeColor="text1"/>
          <w:sz w:val="22"/>
          <w:szCs w:val="22"/>
          <w:rFonts w:ascii="Open Sans" w:eastAsiaTheme="minorEastAsia" w:hAnsi="Open Sans" w:cs="Open Sans"/>
        </w:rPr>
      </w:pPr>
      <w:r>
        <w:rPr>
          <w:color w:val="000000" w:themeColor="text1"/>
          <w:sz w:val="22"/>
          <w:rFonts w:ascii="Open Sans" w:hAnsi="Open Sans"/>
        </w:rPr>
        <w:t xml:space="preserve">Les groupes disposent de 15 minutes</w:t>
      </w:r>
    </w:p>
    <w:p w14:paraId="709E8869" w14:textId="77777777" w:rsidR="00726559" w:rsidRPr="008A7DE6" w:rsidRDefault="00726559" w:rsidP="00726559">
      <w:pPr>
        <w:pStyle w:val="ListParagraph"/>
        <w:numPr>
          <w:ilvl w:val="0"/>
          <w:numId w:val="2"/>
        </w:numPr>
        <w:spacing w:after="120" w:line="276" w:lineRule="auto"/>
        <w:contextualSpacing w:val="0"/>
        <w:rPr>
          <w:color w:val="000000" w:themeColor="text1"/>
          <w:sz w:val="22"/>
          <w:szCs w:val="22"/>
          <w:rFonts w:ascii="Open Sans" w:eastAsiaTheme="minorEastAsia" w:hAnsi="Open Sans" w:cs="Open Sans"/>
        </w:rPr>
      </w:pPr>
      <w:r>
        <w:rPr>
          <w:color w:val="000000" w:themeColor="text1"/>
          <w:sz w:val="22"/>
          <w:rFonts w:ascii="Open Sans" w:hAnsi="Open Sans"/>
        </w:rPr>
        <w:t xml:space="preserve">Partagez le lien Jamboard dans le chat Zoom après avoir partagé les instructions et demandez à chacun d'ouvrir le lien avant l'ouverture des salles de réunion.</w:t>
      </w:r>
    </w:p>
    <w:p w14:paraId="0CE4167D" w14:textId="77777777" w:rsidR="00726559" w:rsidRPr="008A7DE6" w:rsidRDefault="00726559" w:rsidP="00726559">
      <w:pPr>
        <w:pStyle w:val="ListParagraph"/>
        <w:numPr>
          <w:ilvl w:val="0"/>
          <w:numId w:val="2"/>
        </w:numPr>
        <w:spacing w:after="120" w:line="276" w:lineRule="auto"/>
        <w:contextualSpacing w:val="0"/>
        <w:rPr>
          <w:color w:val="000000" w:themeColor="text1"/>
          <w:sz w:val="22"/>
          <w:szCs w:val="22"/>
          <w:rFonts w:ascii="Open Sans" w:eastAsiaTheme="minorEastAsia" w:hAnsi="Open Sans" w:cs="Open Sans"/>
        </w:rPr>
      </w:pPr>
      <w:r>
        <w:rPr>
          <w:color w:val="000000" w:themeColor="text1"/>
          <w:sz w:val="22"/>
          <w:rFonts w:ascii="Open Sans" w:hAnsi="Open Sans"/>
        </w:rPr>
        <w:t xml:space="preserve">Ouvrez les salles de réunion et réglez le chrono sur 10 minutes.</w:t>
      </w:r>
    </w:p>
    <w:p w14:paraId="253F7415" w14:textId="77777777" w:rsidR="00726559" w:rsidRPr="008A7DE6" w:rsidRDefault="00726559" w:rsidP="00726559">
      <w:pPr>
        <w:pStyle w:val="ListParagraph"/>
        <w:numPr>
          <w:ilvl w:val="0"/>
          <w:numId w:val="2"/>
        </w:numPr>
        <w:spacing w:after="120" w:line="276" w:lineRule="auto"/>
        <w:contextualSpacing w:val="0"/>
        <w:rPr>
          <w:color w:val="000000" w:themeColor="text1"/>
          <w:sz w:val="22"/>
          <w:szCs w:val="22"/>
          <w:rFonts w:ascii="Open Sans" w:eastAsiaTheme="minorEastAsia" w:hAnsi="Open Sans" w:cs="Open Sans"/>
        </w:rPr>
      </w:pPr>
      <w:r>
        <w:rPr>
          <w:color w:val="000000" w:themeColor="text1"/>
          <w:sz w:val="22"/>
          <w:rFonts w:ascii="Open Sans" w:hAnsi="Open Sans"/>
        </w:rPr>
        <w:t xml:space="preserve">Débriefez avec les participants en séance collective</w:t>
      </w:r>
    </w:p>
    <w:p w14:paraId="0E5505BA" w14:textId="0480CB7D" w:rsidR="00726559" w:rsidRPr="00795693" w:rsidRDefault="00726559" w:rsidP="00726559">
      <w:pPr>
        <w:pStyle w:val="ListParagraph"/>
        <w:numPr>
          <w:ilvl w:val="0"/>
          <w:numId w:val="2"/>
        </w:numPr>
        <w:spacing w:after="120" w:line="276" w:lineRule="auto"/>
        <w:contextualSpacing w:val="0"/>
        <w:rPr>
          <w:color w:val="000000" w:themeColor="text1"/>
          <w:sz w:val="22"/>
          <w:szCs w:val="22"/>
          <w:rFonts w:ascii="Open Sans" w:eastAsiaTheme="minorEastAsia" w:hAnsi="Open Sans" w:cs="Open Sans"/>
        </w:rPr>
      </w:pPr>
      <w:r>
        <w:rPr>
          <w:color w:val="000000" w:themeColor="text1"/>
          <w:sz w:val="22"/>
          <w:rFonts w:ascii="Open Sans" w:hAnsi="Open Sans"/>
        </w:rPr>
        <w:t xml:space="preserve">Le PPT Le CEA dans les situations d'urgence fournit les réponses et explore chaque étape plus en détail.</w:t>
      </w:r>
    </w:p>
    <w:p w14:paraId="2B03FB23" w14:textId="09B1BC92" w:rsidR="00726559" w:rsidRDefault="00795693" w:rsidP="00726559">
      <w:pPr>
        <w:spacing w:after="120" w:line="276" w:lineRule="auto"/>
        <w:rPr>
          <w:color w:val="000000" w:themeColor="text1"/>
          <w:sz w:val="22"/>
          <w:szCs w:val="22"/>
          <w:rFonts w:ascii="Open Sans" w:hAnsi="Open Sans" w:cs="Open Sans"/>
        </w:rPr>
      </w:pPr>
      <w:r>
        <w:rPr>
          <w:color w:val="000000" w:themeColor="text1"/>
          <w:sz w:val="22"/>
          <w:rFonts w:ascii="Open Sans" w:hAnsi="Open Sans"/>
        </w:rPr>
        <w:t xml:space="preserve">Si vous avez besoin d'aide pour utiliser Jamboard et les salles de réunion, consultez le guide de l'animateur pour la formation d’initiation au CEA en ligne.</w:t>
      </w:r>
      <w:r>
        <w:rPr>
          <w:color w:val="000000" w:themeColor="text1"/>
          <w:sz w:val="22"/>
          <w:rFonts w:ascii="Open Sans" w:hAnsi="Open Sans"/>
        </w:rPr>
        <w:t xml:space="preserve"> </w:t>
      </w:r>
    </w:p>
    <w:tbl>
      <w:tblPr>
        <w:tblStyle w:val="TableGrid"/>
        <w:tblW w:w="0" w:type="auto"/>
        <w:tblLook w:val="04A0" w:firstRow="1" w:lastRow="0" w:firstColumn="1" w:lastColumn="0" w:noHBand="0" w:noVBand="1"/>
      </w:tblPr>
      <w:tblGrid>
        <w:gridCol w:w="10450"/>
      </w:tblGrid>
      <w:tr w:rsidR="00726559" w:rsidRPr="00A00837" w14:paraId="39866DB0" w14:textId="77777777" w:rsidTr="00726559">
        <w:trPr>
          <w:cantSplit/>
          <w:trHeight w:val="567"/>
        </w:trPr>
        <w:tc>
          <w:tcPr>
            <w:tcW w:w="0" w:type="auto"/>
            <w:vAlign w:val="center"/>
          </w:tcPr>
          <w:p w14:paraId="0EDFC49D" w14:textId="77777777" w:rsidR="00726559" w:rsidRPr="00726559" w:rsidRDefault="00726559" w:rsidP="00EB0561">
            <w:pPr>
              <w:spacing w:before="240" w:after="240"/>
              <w:ind w:left="357"/>
              <w:rPr>
                <w:sz w:val="22"/>
                <w:szCs w:val="22"/>
                <w:rFonts w:ascii="Open Sans" w:hAnsi="Open Sans" w:cs="Open Sans"/>
              </w:rPr>
            </w:pPr>
            <w:r>
              <w:rPr>
                <w:sz w:val="22"/>
                <w:rFonts w:ascii="Open Sans" w:hAnsi="Open Sans"/>
              </w:rPr>
              <w:t xml:space="preserve">Rechercher les informations existantes sur la communauté</w:t>
            </w:r>
          </w:p>
        </w:tc>
      </w:tr>
      <w:tr w:rsidR="00726559" w:rsidRPr="00A00837" w14:paraId="05AE7BF0" w14:textId="77777777" w:rsidTr="00726559">
        <w:trPr>
          <w:cantSplit/>
          <w:trHeight w:val="567"/>
        </w:trPr>
        <w:tc>
          <w:tcPr>
            <w:tcW w:w="0" w:type="auto"/>
            <w:vAlign w:val="center"/>
          </w:tcPr>
          <w:p w14:paraId="752ACAAE" w14:textId="77777777" w:rsidR="00726559" w:rsidRPr="00726559" w:rsidRDefault="00726559" w:rsidP="00EB0561">
            <w:pPr>
              <w:spacing w:before="240" w:after="240"/>
              <w:ind w:left="357"/>
              <w:rPr>
                <w:sz w:val="22"/>
                <w:szCs w:val="22"/>
                <w:rFonts w:ascii="Open Sans" w:hAnsi="Open Sans" w:cs="Open Sans"/>
              </w:rPr>
            </w:pPr>
            <w:r>
              <w:rPr>
                <w:sz w:val="22"/>
                <w:rFonts w:ascii="Open Sans" w:hAnsi="Open Sans"/>
              </w:rPr>
              <w:t xml:space="preserve">Impliquer la communauté dans la planification de l'évaluation</w:t>
            </w:r>
          </w:p>
        </w:tc>
      </w:tr>
      <w:tr w:rsidR="00726559" w:rsidRPr="00A00837" w14:paraId="3E87BB54" w14:textId="77777777" w:rsidTr="00726559">
        <w:trPr>
          <w:cantSplit/>
          <w:trHeight w:val="567"/>
        </w:trPr>
        <w:tc>
          <w:tcPr>
            <w:tcW w:w="0" w:type="auto"/>
            <w:vAlign w:val="center"/>
          </w:tcPr>
          <w:p w14:paraId="11D54A15" w14:textId="77777777" w:rsidR="00726559" w:rsidRPr="00726559" w:rsidRDefault="00726559" w:rsidP="00EB0561">
            <w:pPr>
              <w:spacing w:before="240" w:after="240"/>
              <w:ind w:left="357"/>
              <w:rPr>
                <w:sz w:val="22"/>
                <w:szCs w:val="22"/>
                <w:rFonts w:ascii="Open Sans" w:hAnsi="Open Sans" w:cs="Open Sans"/>
              </w:rPr>
            </w:pPr>
            <w:r>
              <w:rPr>
                <w:sz w:val="22"/>
                <w:rFonts w:ascii="Open Sans" w:hAnsi="Open Sans"/>
              </w:rPr>
              <w:t xml:space="preserve">Informer ou former les bénévoles sur l'objectif de l'évaluation et sur la manière de communiquer clairement et honnêtement</w:t>
            </w:r>
          </w:p>
        </w:tc>
      </w:tr>
      <w:tr w:rsidR="00726559" w:rsidRPr="00A00837" w14:paraId="0E81A1C0" w14:textId="77777777" w:rsidTr="00726559">
        <w:trPr>
          <w:cantSplit/>
          <w:trHeight w:val="567"/>
        </w:trPr>
        <w:tc>
          <w:tcPr>
            <w:tcW w:w="0" w:type="auto"/>
            <w:vAlign w:val="center"/>
          </w:tcPr>
          <w:p w14:paraId="782A6C17" w14:textId="77777777" w:rsidR="00726559" w:rsidRPr="00726559" w:rsidRDefault="00726559" w:rsidP="00EB0561">
            <w:pPr>
              <w:spacing w:before="240" w:after="240"/>
              <w:ind w:left="357"/>
              <w:rPr>
                <w:sz w:val="22"/>
                <w:szCs w:val="22"/>
                <w:rFonts w:ascii="Open Sans" w:hAnsi="Open Sans" w:cs="Open Sans"/>
              </w:rPr>
            </w:pPr>
            <w:r>
              <w:rPr>
                <w:sz w:val="22"/>
                <w:rFonts w:ascii="Open Sans" w:hAnsi="Open Sans"/>
              </w:rPr>
              <w:t xml:space="preserve">Prendre le temps de comprendre le contexte, les besoins et les capacités des personnes</w:t>
            </w:r>
          </w:p>
        </w:tc>
      </w:tr>
      <w:tr w:rsidR="00726559" w:rsidRPr="00A00837" w14:paraId="562E72D9" w14:textId="77777777" w:rsidTr="00726559">
        <w:trPr>
          <w:cantSplit/>
          <w:trHeight w:val="567"/>
        </w:trPr>
        <w:tc>
          <w:tcPr>
            <w:tcW w:w="0" w:type="auto"/>
            <w:vAlign w:val="center"/>
          </w:tcPr>
          <w:p w14:paraId="1E26EBBD" w14:textId="77777777" w:rsidR="00726559" w:rsidRPr="00726559" w:rsidRDefault="00726559" w:rsidP="00EB0561">
            <w:pPr>
              <w:spacing w:before="240" w:after="240"/>
              <w:ind w:left="357"/>
              <w:rPr>
                <w:sz w:val="22"/>
                <w:szCs w:val="22"/>
                <w:rFonts w:ascii="Open Sans" w:hAnsi="Open Sans" w:cs="Open Sans"/>
              </w:rPr>
            </w:pPr>
            <w:r>
              <w:rPr>
                <w:sz w:val="22"/>
                <w:rFonts w:ascii="Open Sans" w:hAnsi="Open Sans"/>
              </w:rPr>
              <w:t xml:space="preserve">Inclure des questions sur la meilleure façon de faire participer les communautés à l'évaluation des besoins</w:t>
            </w:r>
          </w:p>
        </w:tc>
      </w:tr>
      <w:tr w:rsidR="00726559" w:rsidRPr="00A00837" w14:paraId="395F7E59" w14:textId="77777777" w:rsidTr="00726559">
        <w:trPr>
          <w:cantSplit/>
          <w:trHeight w:val="567"/>
        </w:trPr>
        <w:tc>
          <w:tcPr>
            <w:tcW w:w="0" w:type="auto"/>
            <w:vAlign w:val="center"/>
          </w:tcPr>
          <w:p w14:paraId="4EF8C9B8" w14:textId="77777777" w:rsidR="00726559" w:rsidRPr="00726559" w:rsidRDefault="00726559" w:rsidP="00EB0561">
            <w:pPr>
              <w:spacing w:before="240" w:after="240"/>
              <w:ind w:left="357"/>
              <w:rPr>
                <w:sz w:val="22"/>
                <w:szCs w:val="22"/>
                <w:rFonts w:ascii="Open Sans" w:hAnsi="Open Sans" w:cs="Open Sans"/>
              </w:rPr>
            </w:pPr>
            <w:r>
              <w:rPr>
                <w:sz w:val="22"/>
                <w:rFonts w:ascii="Open Sans" w:hAnsi="Open Sans"/>
              </w:rPr>
              <w:t xml:space="preserve">Les membres de la communauté et les principales parties prenantes doivent être impliqués dans la planification du programme, y compris les hommes, les femmes, les garçons et les filles et les groupes marginalisés ou à risque</w:t>
            </w:r>
          </w:p>
        </w:tc>
      </w:tr>
      <w:tr w:rsidR="00726559" w:rsidRPr="00A00837" w14:paraId="61BFE9CC" w14:textId="77777777" w:rsidTr="00726559">
        <w:trPr>
          <w:cantSplit/>
          <w:trHeight w:val="567"/>
        </w:trPr>
        <w:tc>
          <w:tcPr>
            <w:tcW w:w="0" w:type="auto"/>
            <w:vAlign w:val="center"/>
          </w:tcPr>
          <w:p w14:paraId="1F7EE264" w14:textId="77777777" w:rsidR="00726559" w:rsidRPr="00726559" w:rsidRDefault="00726559" w:rsidP="00EB0561">
            <w:pPr>
              <w:spacing w:before="240" w:after="240"/>
              <w:ind w:left="357"/>
              <w:rPr>
                <w:sz w:val="22"/>
                <w:szCs w:val="22"/>
                <w:rFonts w:ascii="Open Sans" w:hAnsi="Open Sans" w:cs="Open Sans"/>
              </w:rPr>
            </w:pPr>
            <w:r>
              <w:rPr>
                <w:sz w:val="22"/>
                <w:rFonts w:ascii="Open Sans" w:hAnsi="Open Sans"/>
              </w:rPr>
              <w:t xml:space="preserve">Vérifier les plans avec la communauté et les autres parties prenantes avant de les mettre en œuvre pour s'assurer qu'ils correspondent bien aux besoins et aux attentes</w:t>
            </w:r>
          </w:p>
        </w:tc>
      </w:tr>
      <w:tr w:rsidR="00726559" w:rsidRPr="00A00837" w14:paraId="338BB4EE" w14:textId="77777777" w:rsidTr="00726559">
        <w:trPr>
          <w:cantSplit/>
          <w:trHeight w:val="567"/>
        </w:trPr>
        <w:tc>
          <w:tcPr>
            <w:tcW w:w="0" w:type="auto"/>
            <w:vAlign w:val="center"/>
          </w:tcPr>
          <w:p w14:paraId="1A791E4A" w14:textId="77777777" w:rsidR="00726559" w:rsidRPr="00726559" w:rsidRDefault="00726559" w:rsidP="00EB0561">
            <w:pPr>
              <w:spacing w:before="240" w:after="240"/>
              <w:ind w:left="357"/>
              <w:rPr>
                <w:sz w:val="22"/>
                <w:szCs w:val="22"/>
                <w:rFonts w:ascii="Open Sans" w:hAnsi="Open Sans" w:cs="Open Sans"/>
              </w:rPr>
            </w:pPr>
            <w:r>
              <w:rPr>
                <w:sz w:val="22"/>
                <w:rFonts w:ascii="Open Sans" w:hAnsi="Open Sans"/>
              </w:rPr>
              <w:t xml:space="preserve">Inclure des activités et des indicateurs d'engagement communautaire et de redevabilité dans les projets de programme et le budget, en indiquant comment l'information sera partagée, la participation communautaire encouragée et le retour d'information géré</w:t>
            </w:r>
          </w:p>
        </w:tc>
      </w:tr>
      <w:tr w:rsidR="00726559" w:rsidRPr="00A00837" w14:paraId="17212C71" w14:textId="77777777" w:rsidTr="00726559">
        <w:trPr>
          <w:cantSplit/>
          <w:trHeight w:val="567"/>
        </w:trPr>
        <w:tc>
          <w:tcPr>
            <w:tcW w:w="0" w:type="auto"/>
            <w:vAlign w:val="center"/>
          </w:tcPr>
          <w:p w14:paraId="11A8E335" w14:textId="77777777" w:rsidR="00726559" w:rsidRPr="00726559" w:rsidRDefault="00726559" w:rsidP="00EB0561">
            <w:pPr>
              <w:spacing w:before="240" w:after="240"/>
              <w:ind w:left="357"/>
              <w:rPr>
                <w:sz w:val="22"/>
                <w:szCs w:val="22"/>
                <w:rFonts w:ascii="Open Sans" w:hAnsi="Open Sans" w:cs="Open Sans"/>
              </w:rPr>
            </w:pPr>
            <w:r>
              <w:rPr>
                <w:sz w:val="22"/>
                <w:rFonts w:ascii="Open Sans" w:hAnsi="Open Sans"/>
              </w:rPr>
              <w:t xml:space="preserve">Partager régulièrement des informations sur le programme avec les membres de la communauté en utilisant les meilleures approches pour atteindre les différents groupes</w:t>
            </w:r>
          </w:p>
        </w:tc>
      </w:tr>
      <w:tr w:rsidR="00726559" w:rsidRPr="00A00837" w14:paraId="57279F51" w14:textId="77777777" w:rsidTr="00726559">
        <w:trPr>
          <w:cantSplit/>
          <w:trHeight w:val="567"/>
        </w:trPr>
        <w:tc>
          <w:tcPr>
            <w:tcW w:w="0" w:type="auto"/>
            <w:vAlign w:val="center"/>
          </w:tcPr>
          <w:p w14:paraId="6EB2A9C3" w14:textId="77777777" w:rsidR="00726559" w:rsidRPr="00726559" w:rsidRDefault="00726559" w:rsidP="00EB0561">
            <w:pPr>
              <w:spacing w:before="240" w:after="240"/>
              <w:ind w:left="357"/>
              <w:rPr>
                <w:sz w:val="22"/>
                <w:szCs w:val="22"/>
                <w:rFonts w:ascii="Open Sans" w:hAnsi="Open Sans" w:cs="Open Sans"/>
              </w:rPr>
            </w:pPr>
            <w:r>
              <w:rPr>
                <w:sz w:val="22"/>
                <w:rFonts w:ascii="Open Sans" w:hAnsi="Open Sans"/>
              </w:rPr>
              <w:t xml:space="preserve">Permettre une participation active de la communauté à la gestion et à l'orientation du programme, y compris des groupes marginalisés et à risque</w:t>
            </w:r>
          </w:p>
        </w:tc>
      </w:tr>
      <w:tr w:rsidR="00726559" w:rsidRPr="00A00837" w14:paraId="777FCAA6" w14:textId="77777777" w:rsidTr="00726559">
        <w:trPr>
          <w:cantSplit/>
          <w:trHeight w:val="567"/>
        </w:trPr>
        <w:tc>
          <w:tcPr>
            <w:tcW w:w="0" w:type="auto"/>
            <w:vAlign w:val="center"/>
          </w:tcPr>
          <w:p w14:paraId="2617BB79" w14:textId="77777777" w:rsidR="00726559" w:rsidRPr="00726559" w:rsidRDefault="00726559" w:rsidP="00EB0561">
            <w:pPr>
              <w:spacing w:before="240" w:after="240"/>
              <w:ind w:left="357"/>
              <w:rPr>
                <w:sz w:val="22"/>
                <w:szCs w:val="22"/>
                <w:rFonts w:ascii="Open Sans" w:hAnsi="Open Sans" w:cs="Open Sans"/>
              </w:rPr>
            </w:pPr>
            <w:r>
              <w:rPr>
                <w:sz w:val="22"/>
                <w:rFonts w:ascii="Open Sans" w:hAnsi="Open Sans"/>
              </w:rPr>
              <w:t xml:space="preserve">Recueillir, analyser et donner suite aux retours de la communauté, en veillant à ce que les gens sachent comment poser des questions, faire des suggestions ou faire part de leurs préoccupations concernant le programme</w:t>
            </w:r>
          </w:p>
        </w:tc>
      </w:tr>
      <w:tr w:rsidR="00726559" w:rsidRPr="00A00837" w14:paraId="77D11006" w14:textId="77777777" w:rsidTr="00726559">
        <w:trPr>
          <w:cantSplit/>
          <w:trHeight w:val="567"/>
        </w:trPr>
        <w:tc>
          <w:tcPr>
            <w:tcW w:w="0" w:type="auto"/>
            <w:vAlign w:val="center"/>
          </w:tcPr>
          <w:p w14:paraId="7C8E3D42" w14:textId="77777777" w:rsidR="00726559" w:rsidRPr="00726559" w:rsidRDefault="00726559" w:rsidP="00EB0561">
            <w:pPr>
              <w:spacing w:before="240" w:after="240"/>
              <w:ind w:left="357"/>
              <w:rPr>
                <w:sz w:val="22"/>
                <w:szCs w:val="22"/>
                <w:rFonts w:ascii="Open Sans" w:hAnsi="Open Sans" w:cs="Open Sans"/>
              </w:rPr>
            </w:pPr>
            <w:r>
              <w:rPr>
                <w:sz w:val="22"/>
                <w:rFonts w:ascii="Open Sans" w:hAnsi="Open Sans"/>
              </w:rPr>
              <w:t xml:space="preserve">Revoir et ajuster régulièrement les activités et les approches du programme en fonction des retours d’informations de la communauté et des données de suivi</w:t>
            </w:r>
          </w:p>
        </w:tc>
      </w:tr>
      <w:tr w:rsidR="00726559" w:rsidRPr="00A00837" w14:paraId="597B73C8" w14:textId="77777777" w:rsidTr="00726559">
        <w:trPr>
          <w:cantSplit/>
          <w:trHeight w:val="567"/>
        </w:trPr>
        <w:tc>
          <w:tcPr>
            <w:tcW w:w="0" w:type="auto"/>
            <w:vAlign w:val="center"/>
          </w:tcPr>
          <w:p w14:paraId="2A60AA8C" w14:textId="77777777" w:rsidR="00726559" w:rsidRPr="00726559" w:rsidRDefault="00726559" w:rsidP="00EB0561">
            <w:pPr>
              <w:spacing w:before="240" w:after="240"/>
              <w:ind w:left="357"/>
              <w:rPr>
                <w:sz w:val="22"/>
                <w:szCs w:val="22"/>
                <w:rFonts w:ascii="Open Sans" w:hAnsi="Open Sans" w:cs="Open Sans"/>
              </w:rPr>
            </w:pPr>
            <w:r>
              <w:rPr>
                <w:sz w:val="22"/>
                <w:rFonts w:ascii="Open Sans" w:hAnsi="Open Sans"/>
              </w:rPr>
              <w:t xml:space="preserve">Impliquer les communautés dans la planification de l'évaluation et la discussion des résultats</w:t>
            </w:r>
          </w:p>
        </w:tc>
      </w:tr>
      <w:tr w:rsidR="00726559" w:rsidRPr="00A00837" w14:paraId="0880455F" w14:textId="77777777" w:rsidTr="00726559">
        <w:trPr>
          <w:cantSplit/>
          <w:trHeight w:val="567"/>
        </w:trPr>
        <w:tc>
          <w:tcPr>
            <w:tcW w:w="0" w:type="auto"/>
            <w:vAlign w:val="center"/>
          </w:tcPr>
          <w:p w14:paraId="70159EF6" w14:textId="77777777" w:rsidR="00726559" w:rsidRPr="00726559" w:rsidRDefault="00726559" w:rsidP="00EB0561">
            <w:pPr>
              <w:spacing w:before="240" w:after="240"/>
              <w:ind w:left="357"/>
              <w:rPr>
                <w:sz w:val="22"/>
                <w:szCs w:val="22"/>
                <w:rFonts w:ascii="Open Sans" w:hAnsi="Open Sans" w:cs="Open Sans"/>
              </w:rPr>
            </w:pPr>
            <w:r>
              <w:rPr>
                <w:sz w:val="22"/>
                <w:rFonts w:ascii="Open Sans" w:hAnsi="Open Sans"/>
              </w:rPr>
              <w:t xml:space="preserve">Demander aux membres de la communauté s'ils sont satisfaits du programme, comment il a été mis en œuvre et ce qui pourrait être amélioré.</w:t>
            </w:r>
          </w:p>
        </w:tc>
      </w:tr>
      <w:tr w:rsidR="00726559" w:rsidRPr="00A00837" w14:paraId="4EF731C1" w14:textId="77777777" w:rsidTr="00726559">
        <w:trPr>
          <w:cantSplit/>
          <w:trHeight w:val="567"/>
        </w:trPr>
        <w:tc>
          <w:tcPr>
            <w:tcW w:w="0" w:type="auto"/>
            <w:vAlign w:val="center"/>
          </w:tcPr>
          <w:p w14:paraId="3BF206AF" w14:textId="77777777" w:rsidR="00726559" w:rsidRPr="00726559" w:rsidRDefault="00726559" w:rsidP="00EB0561">
            <w:pPr>
              <w:spacing w:before="240" w:after="240"/>
              <w:ind w:left="357"/>
              <w:rPr>
                <w:sz w:val="22"/>
                <w:szCs w:val="22"/>
                <w:rFonts w:ascii="Open Sans" w:hAnsi="Open Sans" w:cs="Open Sans"/>
              </w:rPr>
            </w:pPr>
            <w:r>
              <w:rPr>
                <w:sz w:val="22"/>
                <w:rFonts w:ascii="Open Sans" w:hAnsi="Open Sans"/>
              </w:rPr>
              <w:t xml:space="preserve">Renforcer la compréhension et les capacités de l'engagement communautaire et la redevabilité à tous les niveaux de la Société nationale</w:t>
            </w:r>
            <w:r>
              <w:rPr>
                <w:sz w:val="22"/>
                <w:b/>
                <w:rFonts w:ascii="Open Sans" w:hAnsi="Open Sans"/>
              </w:rPr>
              <w:t xml:space="preserve"> </w:t>
            </w:r>
          </w:p>
        </w:tc>
      </w:tr>
      <w:tr w:rsidR="00726559" w:rsidRPr="00A00837" w14:paraId="39DBB7F4" w14:textId="77777777" w:rsidTr="00726559">
        <w:trPr>
          <w:cantSplit/>
          <w:trHeight w:val="567"/>
        </w:trPr>
        <w:tc>
          <w:tcPr>
            <w:tcW w:w="0" w:type="auto"/>
            <w:vAlign w:val="center"/>
          </w:tcPr>
          <w:p w14:paraId="7C3C8C35" w14:textId="77777777" w:rsidR="00726559" w:rsidRPr="00726559" w:rsidRDefault="00726559" w:rsidP="00EB0561">
            <w:pPr>
              <w:spacing w:before="240" w:after="240"/>
              <w:ind w:left="357"/>
              <w:rPr>
                <w:sz w:val="22"/>
                <w:szCs w:val="22"/>
                <w:rFonts w:ascii="Open Sans" w:hAnsi="Open Sans" w:cs="Open Sans"/>
              </w:rPr>
            </w:pPr>
            <w:r>
              <w:rPr>
                <w:sz w:val="22"/>
                <w:rFonts w:ascii="Open Sans" w:hAnsi="Open Sans"/>
              </w:rPr>
              <w:t xml:space="preserve">Allouer des ressources, y compris des fonds et du personnel, pour renforcer et institutionnaliser l'engagement communautaire et la redevabilité</w:t>
            </w:r>
          </w:p>
        </w:tc>
      </w:tr>
      <w:tr w:rsidR="00726559" w:rsidRPr="00A00837" w14:paraId="7C72881D" w14:textId="77777777" w:rsidTr="00726559">
        <w:trPr>
          <w:cantSplit/>
          <w:trHeight w:val="567"/>
        </w:trPr>
        <w:tc>
          <w:tcPr>
            <w:tcW w:w="0" w:type="auto"/>
            <w:vAlign w:val="center"/>
          </w:tcPr>
          <w:p w14:paraId="3D2CD84B" w14:textId="77777777" w:rsidR="00726559" w:rsidRPr="00726559" w:rsidRDefault="00726559" w:rsidP="00EB0561">
            <w:pPr>
              <w:spacing w:before="240" w:after="240"/>
              <w:ind w:left="357"/>
              <w:rPr>
                <w:sz w:val="22"/>
                <w:szCs w:val="22"/>
                <w:rFonts w:ascii="Open Sans" w:hAnsi="Open Sans" w:cs="Open Sans"/>
              </w:rPr>
            </w:pPr>
            <w:r>
              <w:rPr>
                <w:sz w:val="22"/>
                <w:rFonts w:ascii="Open Sans" w:hAnsi="Open Sans"/>
              </w:rPr>
              <w:t xml:space="preserve">Intégrer l'engagement communautaire et la redevabilité dans toutes les stratégies, valeurs, plans, politiques et outils de la Société nationale afin qu'ils deviennent une méthode de travail standard pour tout le personnel et les bénévoles</w:t>
            </w:r>
          </w:p>
        </w:tc>
      </w:tr>
      <w:tr w:rsidR="00726559" w:rsidRPr="00A00837" w14:paraId="3F3FAB64" w14:textId="77777777" w:rsidTr="00726559">
        <w:trPr>
          <w:cantSplit/>
          <w:trHeight w:val="567"/>
        </w:trPr>
        <w:tc>
          <w:tcPr>
            <w:tcW w:w="0" w:type="auto"/>
            <w:vAlign w:val="center"/>
          </w:tcPr>
          <w:p w14:paraId="50DCBCB1" w14:textId="77777777" w:rsidR="00726559" w:rsidRPr="00726559" w:rsidRDefault="00726559" w:rsidP="00EB0561">
            <w:pPr>
              <w:spacing w:before="240" w:after="240"/>
              <w:ind w:left="357"/>
              <w:rPr>
                <w:sz w:val="22"/>
                <w:szCs w:val="22"/>
                <w:rFonts w:ascii="Open Sans" w:hAnsi="Open Sans" w:cs="Open Sans"/>
              </w:rPr>
            </w:pPr>
            <w:r>
              <w:rPr>
                <w:sz w:val="22"/>
                <w:rFonts w:ascii="Open Sans" w:hAnsi="Open Sans"/>
              </w:rPr>
              <w:t xml:space="preserve">Mettre en place un mécanisme de retours d'information de la communauté pour la Société nationale avec des processus de gestion des réclamations sensibles.</w:t>
            </w:r>
          </w:p>
        </w:tc>
      </w:tr>
    </w:tbl>
    <w:p w14:paraId="450E7C26" w14:textId="77777777" w:rsidR="00726559" w:rsidRDefault="00726559"/>
    <w:sectPr w:rsidR="00726559" w:rsidSect="006A7916">
      <w:headerReference w:type="default" r:id="rId9"/>
      <w:pgSz w:w="11900" w:h="16840"/>
      <w:pgMar w:top="1472" w:right="720" w:bottom="720" w:left="720" w:header="71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FC4BB" w14:textId="77777777" w:rsidR="004B2C63" w:rsidRDefault="004B2C63" w:rsidP="00706FEA">
      <w:r>
        <w:separator/>
      </w:r>
    </w:p>
  </w:endnote>
  <w:endnote w:type="continuationSeparator" w:id="0">
    <w:p w14:paraId="65116170" w14:textId="77777777" w:rsidR="004B2C63" w:rsidRDefault="004B2C63" w:rsidP="00706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Montserrat">
    <w:panose1 w:val="00000500000000000000"/>
    <w:charset w:val="00"/>
    <w:family w:val="auto"/>
    <w:pitch w:val="variable"/>
    <w:sig w:usb0="20000007" w:usb1="00000001" w:usb2="00000000" w:usb3="00000000" w:csb0="00000193" w:csb1="00000000"/>
  </w:font>
  <w:font w:name="Open Sans">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EE082" w14:textId="77777777" w:rsidR="004B2C63" w:rsidRDefault="004B2C63" w:rsidP="00706FEA">
      <w:r>
        <w:separator/>
      </w:r>
    </w:p>
  </w:footnote>
  <w:footnote w:type="continuationSeparator" w:id="0">
    <w:p w14:paraId="0FA7B71C" w14:textId="77777777" w:rsidR="004B2C63" w:rsidRDefault="004B2C63" w:rsidP="00706F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DAC71" w14:textId="4AAF3918" w:rsidR="00706FEA" w:rsidRPr="00145D08" w:rsidRDefault="006D46EA">
    <w:pPr>
      <w:pStyle w:val="Header"/>
      <w:rPr>
        <w:b/>
        <w:sz w:val="32"/>
        <w:szCs w:val="32"/>
        <w:rFonts w:ascii="Montserrat" w:hAnsi="Montserrat"/>
      </w:rPr>
    </w:pPr>
    <w:r>
      <w:rPr>
        <w:b/>
        <w:sz w:val="32"/>
        <w:rFonts w:ascii="Montserrat" w:hAnsi="Montserrat"/>
      </w:rPr>
      <w:t xml:space="preserve">CARTES D’ACTION MINIMALE POUR LE CEA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F18AF"/>
    <w:multiLevelType w:val="hybridMultilevel"/>
    <w:tmpl w:val="A25ABF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AE77C97"/>
    <w:multiLevelType w:val="hybridMultilevel"/>
    <w:tmpl w:val="0756BF9E"/>
    <w:lvl w:ilvl="0" w:tplc="AFBEA584">
      <w:start w:val="1"/>
      <w:numFmt w:val="decimal"/>
      <w:lvlText w:val="%1."/>
      <w:lvlJc w:val="left"/>
      <w:pPr>
        <w:tabs>
          <w:tab w:val="num" w:pos="720"/>
        </w:tabs>
        <w:ind w:left="720" w:hanging="360"/>
      </w:pPr>
    </w:lvl>
    <w:lvl w:ilvl="1" w:tplc="6B424272" w:tentative="1">
      <w:start w:val="1"/>
      <w:numFmt w:val="decimal"/>
      <w:lvlText w:val="%2."/>
      <w:lvlJc w:val="left"/>
      <w:pPr>
        <w:tabs>
          <w:tab w:val="num" w:pos="1440"/>
        </w:tabs>
        <w:ind w:left="1440" w:hanging="360"/>
      </w:pPr>
    </w:lvl>
    <w:lvl w:ilvl="2" w:tplc="8F74E1BC" w:tentative="1">
      <w:start w:val="1"/>
      <w:numFmt w:val="decimal"/>
      <w:lvlText w:val="%3."/>
      <w:lvlJc w:val="left"/>
      <w:pPr>
        <w:tabs>
          <w:tab w:val="num" w:pos="2160"/>
        </w:tabs>
        <w:ind w:left="2160" w:hanging="360"/>
      </w:pPr>
    </w:lvl>
    <w:lvl w:ilvl="3" w:tplc="905A68A6" w:tentative="1">
      <w:start w:val="1"/>
      <w:numFmt w:val="decimal"/>
      <w:lvlText w:val="%4."/>
      <w:lvlJc w:val="left"/>
      <w:pPr>
        <w:tabs>
          <w:tab w:val="num" w:pos="2880"/>
        </w:tabs>
        <w:ind w:left="2880" w:hanging="360"/>
      </w:pPr>
    </w:lvl>
    <w:lvl w:ilvl="4" w:tplc="3EC80C82" w:tentative="1">
      <w:start w:val="1"/>
      <w:numFmt w:val="decimal"/>
      <w:lvlText w:val="%5."/>
      <w:lvlJc w:val="left"/>
      <w:pPr>
        <w:tabs>
          <w:tab w:val="num" w:pos="3600"/>
        </w:tabs>
        <w:ind w:left="3600" w:hanging="360"/>
      </w:pPr>
    </w:lvl>
    <w:lvl w:ilvl="5" w:tplc="51441D14" w:tentative="1">
      <w:start w:val="1"/>
      <w:numFmt w:val="decimal"/>
      <w:lvlText w:val="%6."/>
      <w:lvlJc w:val="left"/>
      <w:pPr>
        <w:tabs>
          <w:tab w:val="num" w:pos="4320"/>
        </w:tabs>
        <w:ind w:left="4320" w:hanging="360"/>
      </w:pPr>
    </w:lvl>
    <w:lvl w:ilvl="6" w:tplc="EB2EEC78" w:tentative="1">
      <w:start w:val="1"/>
      <w:numFmt w:val="decimal"/>
      <w:lvlText w:val="%7."/>
      <w:lvlJc w:val="left"/>
      <w:pPr>
        <w:tabs>
          <w:tab w:val="num" w:pos="5040"/>
        </w:tabs>
        <w:ind w:left="5040" w:hanging="360"/>
      </w:pPr>
    </w:lvl>
    <w:lvl w:ilvl="7" w:tplc="55369488" w:tentative="1">
      <w:start w:val="1"/>
      <w:numFmt w:val="decimal"/>
      <w:lvlText w:val="%8."/>
      <w:lvlJc w:val="left"/>
      <w:pPr>
        <w:tabs>
          <w:tab w:val="num" w:pos="5760"/>
        </w:tabs>
        <w:ind w:left="5760" w:hanging="360"/>
      </w:pPr>
    </w:lvl>
    <w:lvl w:ilvl="8" w:tplc="B290D30A" w:tentative="1">
      <w:start w:val="1"/>
      <w:numFmt w:val="decimal"/>
      <w:lvlText w:val="%9."/>
      <w:lvlJc w:val="left"/>
      <w:pPr>
        <w:tabs>
          <w:tab w:val="num" w:pos="6480"/>
        </w:tabs>
        <w:ind w:left="6480" w:hanging="360"/>
      </w:pPr>
    </w:lvl>
  </w:abstractNum>
  <w:abstractNum w:abstractNumId="2" w15:restartNumberingAfterBreak="0">
    <w:nsid w:val="590B1069"/>
    <w:multiLevelType w:val="hybridMultilevel"/>
    <w:tmpl w:val="E6222570"/>
    <w:lvl w:ilvl="0" w:tplc="86946FFC">
      <w:start w:val="1"/>
      <w:numFmt w:val="decimal"/>
      <w:lvlText w:val="%1."/>
      <w:lvlJc w:val="left"/>
      <w:pPr>
        <w:ind w:left="720" w:hanging="360"/>
      </w:pPr>
    </w:lvl>
    <w:lvl w:ilvl="1" w:tplc="ADDC78FA">
      <w:start w:val="1"/>
      <w:numFmt w:val="lowerLetter"/>
      <w:lvlText w:val="%2."/>
      <w:lvlJc w:val="left"/>
      <w:pPr>
        <w:ind w:left="1440" w:hanging="360"/>
      </w:pPr>
    </w:lvl>
    <w:lvl w:ilvl="2" w:tplc="7DAA5994">
      <w:start w:val="1"/>
      <w:numFmt w:val="lowerRoman"/>
      <w:lvlText w:val="%3."/>
      <w:lvlJc w:val="right"/>
      <w:pPr>
        <w:ind w:left="2160" w:hanging="180"/>
      </w:pPr>
    </w:lvl>
    <w:lvl w:ilvl="3" w:tplc="18FCF904">
      <w:start w:val="1"/>
      <w:numFmt w:val="decimal"/>
      <w:lvlText w:val="%4."/>
      <w:lvlJc w:val="left"/>
      <w:pPr>
        <w:ind w:left="2880" w:hanging="360"/>
      </w:pPr>
    </w:lvl>
    <w:lvl w:ilvl="4" w:tplc="D17AACAA">
      <w:start w:val="1"/>
      <w:numFmt w:val="lowerLetter"/>
      <w:lvlText w:val="%5."/>
      <w:lvlJc w:val="left"/>
      <w:pPr>
        <w:ind w:left="3600" w:hanging="360"/>
      </w:pPr>
    </w:lvl>
    <w:lvl w:ilvl="5" w:tplc="8376BD94">
      <w:start w:val="1"/>
      <w:numFmt w:val="lowerRoman"/>
      <w:lvlText w:val="%6."/>
      <w:lvlJc w:val="right"/>
      <w:pPr>
        <w:ind w:left="4320" w:hanging="180"/>
      </w:pPr>
    </w:lvl>
    <w:lvl w:ilvl="6" w:tplc="671E4086">
      <w:start w:val="1"/>
      <w:numFmt w:val="decimal"/>
      <w:lvlText w:val="%7."/>
      <w:lvlJc w:val="left"/>
      <w:pPr>
        <w:ind w:left="5040" w:hanging="360"/>
      </w:pPr>
    </w:lvl>
    <w:lvl w:ilvl="7" w:tplc="B59C9782">
      <w:start w:val="1"/>
      <w:numFmt w:val="lowerLetter"/>
      <w:lvlText w:val="%8."/>
      <w:lvlJc w:val="left"/>
      <w:pPr>
        <w:ind w:left="5760" w:hanging="360"/>
      </w:pPr>
    </w:lvl>
    <w:lvl w:ilvl="8" w:tplc="F78C7498">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dirty" w:grammar="dirty"/>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005"/>
    <w:rsid w:val="000439EB"/>
    <w:rsid w:val="000E6632"/>
    <w:rsid w:val="0014223A"/>
    <w:rsid w:val="00145D08"/>
    <w:rsid w:val="0021696E"/>
    <w:rsid w:val="0023221A"/>
    <w:rsid w:val="002B1162"/>
    <w:rsid w:val="002E3FEA"/>
    <w:rsid w:val="003F5BD2"/>
    <w:rsid w:val="004B2C63"/>
    <w:rsid w:val="006A7916"/>
    <w:rsid w:val="006D46EA"/>
    <w:rsid w:val="00706FEA"/>
    <w:rsid w:val="00726559"/>
    <w:rsid w:val="007404AB"/>
    <w:rsid w:val="00776B42"/>
    <w:rsid w:val="007901A2"/>
    <w:rsid w:val="00795693"/>
    <w:rsid w:val="007A62AA"/>
    <w:rsid w:val="007E0C4E"/>
    <w:rsid w:val="00820998"/>
    <w:rsid w:val="008404C1"/>
    <w:rsid w:val="00844B45"/>
    <w:rsid w:val="009517D3"/>
    <w:rsid w:val="00A00837"/>
    <w:rsid w:val="00ED4005"/>
    <w:rsid w:val="00F17A0E"/>
    <w:rsid w:val="00F800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0B451CF"/>
  <w14:defaultImageDpi w14:val="300"/>
  <w15:docId w15:val="{22F8DA0B-8319-4CE4-9FA7-D640419C7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F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0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06FEA"/>
    <w:pPr>
      <w:tabs>
        <w:tab w:val="center" w:pos="4513"/>
        <w:tab w:val="right" w:pos="9026"/>
      </w:tabs>
    </w:pPr>
  </w:style>
  <w:style w:type="character" w:customStyle="1" w:styleId="HeaderChar">
    <w:name w:val="Header Char"/>
    <w:basedOn w:val="DefaultParagraphFont"/>
    <w:link w:val="Header"/>
    <w:uiPriority w:val="99"/>
    <w:rsid w:val="00706FEA"/>
    <w:rPr>
      <w:lang w:val="fr-FR"/>
    </w:rPr>
  </w:style>
  <w:style w:type="paragraph" w:styleId="Footer">
    <w:name w:val="footer"/>
    <w:basedOn w:val="Normal"/>
    <w:link w:val="FooterChar"/>
    <w:uiPriority w:val="99"/>
    <w:unhideWhenUsed/>
    <w:rsid w:val="00706FEA"/>
    <w:pPr>
      <w:tabs>
        <w:tab w:val="center" w:pos="4513"/>
        <w:tab w:val="right" w:pos="9026"/>
      </w:tabs>
    </w:pPr>
  </w:style>
  <w:style w:type="character" w:customStyle="1" w:styleId="FooterChar">
    <w:name w:val="Footer Char"/>
    <w:basedOn w:val="DefaultParagraphFont"/>
    <w:link w:val="Footer"/>
    <w:uiPriority w:val="99"/>
    <w:rsid w:val="00706FEA"/>
    <w:rPr>
      <w:lang w:val="fr-FR"/>
    </w:rPr>
  </w:style>
  <w:style w:type="paragraph" w:styleId="ListParagraph">
    <w:name w:val="List Paragraph"/>
    <w:aliases w:val="Bullet List,FooterText,List Paragraph1,Colorful List Accent 1"/>
    <w:basedOn w:val="Normal"/>
    <w:link w:val="ListParagraphChar"/>
    <w:uiPriority w:val="34"/>
    <w:qFormat/>
    <w:rsid w:val="00145D08"/>
    <w:pPr>
      <w:ind w:left="720"/>
      <w:contextualSpacing/>
    </w:pPr>
    <w:rPr>
      <w:rFonts w:ascii="Calibri" w:eastAsiaTheme="minorHAnsi" w:hAnsi="Calibri" w:cs="Times New Roman"/>
      <w:sz w:val="20"/>
      <w:szCs w:val="20"/>
    </w:rPr>
  </w:style>
  <w:style w:type="character" w:customStyle="1" w:styleId="ListParagraphChar">
    <w:name w:val="List Paragraph Char"/>
    <w:aliases w:val="Bullet List Char,FooterText Char,List Paragraph1 Char,Colorful List Accent 1 Char"/>
    <w:link w:val="ListParagraph"/>
    <w:uiPriority w:val="34"/>
    <w:locked/>
    <w:rsid w:val="00145D08"/>
    <w:rPr>
      <w:rFonts w:ascii="Calibri" w:eastAsiaTheme="minorHAnsi" w:hAnsi="Calibri" w:cs="Times New Roman"/>
      <w:sz w:val="20"/>
      <w:szCs w:val="20"/>
      <w:lang w:val="fr-FR"/>
    </w:rPr>
  </w:style>
  <w:style w:type="character" w:styleId="Hyperlink">
    <w:name w:val="Hyperlink"/>
    <w:basedOn w:val="DefaultParagraphFont"/>
    <w:uiPriority w:val="99"/>
    <w:unhideWhenUsed/>
    <w:rsid w:val="00726559"/>
    <w:rPr>
      <w:color w:val="0000FF" w:themeColor="hyperlink"/>
      <w:u w:val="single"/>
    </w:rPr>
  </w:style>
  <w:style w:type="character" w:styleId="UnresolvedMention">
    <w:name w:val="Unresolved Mention"/>
    <w:basedOn w:val="DefaultParagraphFont"/>
    <w:uiPriority w:val="99"/>
    <w:semiHidden/>
    <w:unhideWhenUsed/>
    <w:rsid w:val="00F800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6971889">
      <w:bodyDiv w:val="1"/>
      <w:marLeft w:val="0"/>
      <w:marRight w:val="0"/>
      <w:marTop w:val="0"/>
      <w:marBottom w:val="0"/>
      <w:divBdr>
        <w:top w:val="none" w:sz="0" w:space="0" w:color="auto"/>
        <w:left w:val="none" w:sz="0" w:space="0" w:color="auto"/>
        <w:bottom w:val="none" w:sz="0" w:space="0" w:color="auto"/>
        <w:right w:val="none" w:sz="0" w:space="0" w:color="auto"/>
      </w:divBdr>
      <w:divsChild>
        <w:div w:id="854348889">
          <w:marLeft w:val="806"/>
          <w:marRight w:val="0"/>
          <w:marTop w:val="0"/>
          <w:marBottom w:val="720"/>
          <w:divBdr>
            <w:top w:val="none" w:sz="0" w:space="0" w:color="auto"/>
            <w:left w:val="none" w:sz="0" w:space="0" w:color="auto"/>
            <w:bottom w:val="none" w:sz="0" w:space="0" w:color="auto"/>
            <w:right w:val="none" w:sz="0" w:space="0" w:color="auto"/>
          </w:divBdr>
        </w:div>
        <w:div w:id="1550875647">
          <w:marLeft w:val="806"/>
          <w:marRight w:val="0"/>
          <w:marTop w:val="0"/>
          <w:marBottom w:val="720"/>
          <w:divBdr>
            <w:top w:val="none" w:sz="0" w:space="0" w:color="auto"/>
            <w:left w:val="none" w:sz="0" w:space="0" w:color="auto"/>
            <w:bottom w:val="none" w:sz="0" w:space="0" w:color="auto"/>
            <w:right w:val="none" w:sz="0" w:space="0" w:color="auto"/>
          </w:divBdr>
        </w:div>
        <w:div w:id="2010330457">
          <w:marLeft w:val="806"/>
          <w:marRight w:val="0"/>
          <w:marTop w:val="0"/>
          <w:marBottom w:val="720"/>
          <w:divBdr>
            <w:top w:val="none" w:sz="0" w:space="0" w:color="auto"/>
            <w:left w:val="none" w:sz="0" w:space="0" w:color="auto"/>
            <w:bottom w:val="none" w:sz="0" w:space="0" w:color="auto"/>
            <w:right w:val="none" w:sz="0" w:space="0" w:color="auto"/>
          </w:divBdr>
        </w:div>
        <w:div w:id="2007006709">
          <w:marLeft w:val="806"/>
          <w:marRight w:val="0"/>
          <w:marTop w:val="0"/>
          <w:marBottom w:val="72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 standalone="yes"?>
<Relationships xmlns="http://schemas.openxmlformats.org/package/2006/relationships"><Relationship Id="rId8" Type="http://schemas.openxmlformats.org/officeDocument/2006/relationships/hyperlink" Target="https://jamboard.google.com/d/1FhS0LvQ32Zcp082S0malfd8POLmvU5KwNdJOYav6JRs/edit?usp=sharing"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2.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19" ma:contentTypeDescription="Create a new document." ma:contentTypeScope="" ma:versionID="751c983e2c972f49d717fd7875f6ef03">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f5f89f650305b4ca390f45d416a32a58"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SharedWithUsers xmlns="133e5729-7bb1-4685-bd1f-c5e580a2ee33">
      <UserInfo>
        <DisplayName/>
        <AccountId xsi:nil="true"/>
        <AccountType/>
      </UserInfo>
    </SharedWithUsers>
    <MediaLengthInSeconds xmlns="cf328f71-004c-4ec5-8aac-4c1fe87c002c" xsi:nil="true"/>
  </documentManagement>
</p:properties>
</file>

<file path=customXml/itemProps1.xml><?xml version="1.0" encoding="utf-8"?>
<ds:datastoreItem xmlns:ds="http://schemas.openxmlformats.org/officeDocument/2006/customXml" ds:itemID="{B73B4F8A-8111-E146-834C-875A87C31F2B}">
  <ds:schemaRefs>
    <ds:schemaRef ds:uri="http://schemas.openxmlformats.org/officeDocument/2006/bibliography"/>
  </ds:schemaRefs>
</ds:datastoreItem>
</file>

<file path=customXml/itemProps2.xml><?xml version="1.0" encoding="utf-8"?>
<ds:datastoreItem xmlns:ds="http://schemas.openxmlformats.org/officeDocument/2006/customXml" ds:itemID="{B414F2B7-6B82-414B-A525-617E9432540A}"/>
</file>

<file path=customXml/itemProps3.xml><?xml version="1.0" encoding="utf-8"?>
<ds:datastoreItem xmlns:ds="http://schemas.openxmlformats.org/officeDocument/2006/customXml" ds:itemID="{30AC0ED3-0724-44EE-840D-B7604E3D6412}"/>
</file>

<file path=customXml/itemProps4.xml><?xml version="1.0" encoding="utf-8"?>
<ds:datastoreItem xmlns:ds="http://schemas.openxmlformats.org/officeDocument/2006/customXml" ds:itemID="{4FF68842-8535-4F24-8919-57E36A582421}"/>
</file>

<file path=docProps/app.xml><?xml version="1.0" encoding="utf-8"?>
<Properties xmlns="http://schemas.openxmlformats.org/officeDocument/2006/extended-properties" xmlns:vt="http://schemas.openxmlformats.org/officeDocument/2006/docPropsVTypes">
  <Template>Normal.dotm</Template>
  <TotalTime>0</TotalTime>
  <Pages>2</Pages>
  <Words>554</Words>
  <Characters>3160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Reader</dc:creator>
  <cp:keywords/>
  <dc:description/>
  <cp:lastModifiedBy>Sharon Reader</cp:lastModifiedBy>
  <cp:revision>2</cp:revision>
  <cp:lastPrinted>2017-03-09T09:38:00Z</cp:lastPrinted>
  <dcterms:created xsi:type="dcterms:W3CDTF">2022-07-18T19:47:00Z</dcterms:created>
  <dcterms:modified xsi:type="dcterms:W3CDTF">2022-07-18T19:47:00Z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Order">
    <vt:r8>5821100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MediaServiceImageTags">
    <vt:lpwstr/>
  </property>
</Properties>
</file>