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3269F" w:rsidRDefault="008B1158">
      <w:pPr>
        <w:pStyle w:val="Heading1"/>
        <w:spacing w:after="120"/>
      </w:pPr>
      <w:r>
        <w:rPr>
          <w:color w:val="FF0000"/>
        </w:rPr>
        <w:t xml:space="preserve">টুল ১১:</w:t>
      </w:r>
      <w:r>
        <w:rPr>
          <w:color w:val="FF0000"/>
        </w:rPr>
        <w:t xml:space="preserve"> </w:t>
      </w:r>
      <w:r>
        <w:t xml:space="preserve">পরিকল্পনা সমূহের জন্য সিইএ চেকলিস্ট</w:t>
      </w:r>
    </w:p>
    <w:p w14:paraId="00000002" w14:textId="77777777" w:rsidR="0013269F" w:rsidRDefault="008B1158">
      <w:pPr>
        <w:pStyle w:val="Heading4"/>
        <w:spacing w:after="240" w:line="276" w:lineRule="auto"/>
        <w:ind w:right="-732"/>
        <w:rPr>
          <w:b w:val="0"/>
          <w:color w:val="000000"/>
          <w:sz w:val="22"/>
          <w:szCs w:val="22"/>
          <w:rFonts w:ascii="Open Sans" w:eastAsia="Open Sans" w:hAnsi="Open Sans" w:cs="Open Sans"/>
        </w:rPr>
      </w:pPr>
      <w:r>
        <w:rPr>
          <w:b w:val="0"/>
          <w:color w:val="000000"/>
          <w:sz w:val="22"/>
          <w:rFonts w:ascii="Open Sans" w:hAnsi="Open Sans"/>
        </w:rPr>
        <w:t xml:space="preserve">কর্মসূচি ব্যবস্থাপক, সেক্টর, বিভাগীয় প্রধান এবং পিএমইআর কর্মচারীদের জন্য একটি সহজ চেকলিস্ট, যাতে একটি কর্মসূচি পরিকল্পনাতে পর্যাপ্তভাবে সিইএ অন্তর্ভুক্ত করা হয়েছে কিনা তা মূল্যায়ন করা যায়।</w:t>
      </w:r>
    </w:p>
    <w:tbl>
      <w:tblPr>
        <w:tblStyle w:val="a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708"/>
        <w:gridCol w:w="709"/>
        <w:gridCol w:w="2126"/>
      </w:tblGrid>
      <w:tr w:rsidR="0013269F" w14:paraId="49841682" w14:textId="77777777" w:rsidTr="00032CD0">
        <w:tc>
          <w:tcPr>
            <w:tcW w:w="5524" w:type="dxa"/>
          </w:tcPr>
          <w:p w14:paraId="00000003" w14:textId="77777777" w:rsidR="0013269F" w:rsidRPr="00B71462" w:rsidRDefault="008B1158" w:rsidP="00E97D91">
            <w:pPr>
              <w:spacing w:after="120" w:line="240" w:lineRule="auto"/>
              <w:ind w:left="-85"/>
              <w:rPr>
                <w:b/>
                <w:rFonts w:ascii="Open Sans" w:eastAsia="Open Sans" w:hAnsi="Open Sans" w:cs="Open Sans"/>
              </w:rPr>
            </w:pPr>
            <w:r>
              <w:rPr>
                <w:b/>
                <w:rFonts w:ascii="Open Sans" w:hAnsi="Open Sans"/>
              </w:rPr>
              <w:t xml:space="preserve">পরিকল্পনাটির ভেতরে এটি আছে কি না:</w:t>
            </w:r>
          </w:p>
        </w:tc>
        <w:tc>
          <w:tcPr>
            <w:tcW w:w="708" w:type="dxa"/>
          </w:tcPr>
          <w:p w14:paraId="00000004" w14:textId="77777777" w:rsidR="0013269F" w:rsidRPr="00B71462" w:rsidRDefault="008B1158" w:rsidP="00E97D91">
            <w:pPr>
              <w:spacing w:after="120" w:line="240" w:lineRule="auto"/>
              <w:ind w:left="-85"/>
              <w:rPr>
                <w:b/>
                <w:rFonts w:ascii="Open Sans" w:eastAsia="Open Sans" w:hAnsi="Open Sans" w:cs="Open Sans"/>
              </w:rPr>
            </w:pPr>
            <w:r>
              <w:rPr>
                <w:b/>
                <w:rFonts w:ascii="Open Sans" w:hAnsi="Open Sans"/>
              </w:rPr>
              <w:t xml:space="preserve">হ্যাঁ</w:t>
            </w:r>
          </w:p>
        </w:tc>
        <w:tc>
          <w:tcPr>
            <w:tcW w:w="709" w:type="dxa"/>
          </w:tcPr>
          <w:p w14:paraId="00000005" w14:textId="77777777" w:rsidR="0013269F" w:rsidRPr="00B71462" w:rsidRDefault="008B1158" w:rsidP="00E97D91">
            <w:pPr>
              <w:spacing w:after="120" w:line="240" w:lineRule="auto"/>
              <w:ind w:left="-85"/>
              <w:rPr>
                <w:b/>
                <w:rFonts w:ascii="Open Sans" w:eastAsia="Open Sans" w:hAnsi="Open Sans" w:cs="Open Sans"/>
              </w:rPr>
            </w:pPr>
            <w:r>
              <w:rPr>
                <w:b/>
                <w:rFonts w:ascii="Open Sans" w:hAnsi="Open Sans"/>
              </w:rPr>
              <w:t xml:space="preserve">না</w:t>
            </w:r>
          </w:p>
        </w:tc>
        <w:tc>
          <w:tcPr>
            <w:tcW w:w="2126" w:type="dxa"/>
          </w:tcPr>
          <w:p w14:paraId="00000006" w14:textId="77777777" w:rsidR="0013269F" w:rsidRPr="00B71462" w:rsidRDefault="008B1158" w:rsidP="00E97D91">
            <w:pPr>
              <w:spacing w:after="120" w:line="240" w:lineRule="auto"/>
              <w:ind w:left="-85"/>
              <w:rPr>
                <w:b/>
                <w:rFonts w:ascii="Open Sans" w:eastAsia="Open Sans" w:hAnsi="Open Sans" w:cs="Open Sans"/>
              </w:rPr>
            </w:pPr>
            <w:r>
              <w:rPr>
                <w:b/>
                <w:rFonts w:ascii="Open Sans" w:hAnsi="Open Sans"/>
              </w:rPr>
              <w:t xml:space="preserve">যদি না হয়, তাহলে এর ধারাবাহিকতায় পরবর্তী পদক্ষেপ</w:t>
            </w:r>
            <w:r>
              <w:rPr>
                <w:b/>
                <w:rFonts w:ascii="Open Sans" w:hAnsi="Open Sans"/>
              </w:rPr>
              <w:t xml:space="preserve"> </w:t>
            </w:r>
          </w:p>
        </w:tc>
      </w:tr>
      <w:tr w:rsidR="0013269F" w14:paraId="6B604640" w14:textId="77777777" w:rsidTr="00032CD0">
        <w:tc>
          <w:tcPr>
            <w:tcW w:w="5524" w:type="dxa"/>
          </w:tcPr>
          <w:p w14:paraId="00000007" w14:textId="77777777"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তথ্য গ্রহণ, অংশগ্রহণ এবং মতামত জানানোর ক্ষেত্রে পছন্দের উপায় সহ, মূল্যায়নের সময় কমিউনিটির প্রয়োজন, অগ্রাধিকার ও মতামত সম্পর্কে  কমিউনিটির সাথে পরামর্শ করার প্রমাণ</w:t>
            </w:r>
            <w:r>
              <w:rPr>
                <w:sz w:val="20"/>
                <w:rFonts w:ascii="Open Sans" w:hAnsi="Open Sans"/>
              </w:rPr>
              <w:t xml:space="preserve"> </w:t>
            </w:r>
          </w:p>
        </w:tc>
        <w:tc>
          <w:tcPr>
            <w:tcW w:w="708" w:type="dxa"/>
          </w:tcPr>
          <w:p w14:paraId="00000008"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09"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0A"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6773FAF6" w14:textId="77777777" w:rsidTr="00032CD0">
        <w:tc>
          <w:tcPr>
            <w:tcW w:w="5524" w:type="dxa"/>
          </w:tcPr>
          <w:p w14:paraId="0000000B" w14:textId="77777777"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কমিউনিটির গোষ্ঠী ও নেতানেত্রী সমূহ, ক্ষমতার বিন্যাস ও প্রয়োগ, লিঙ্গ ও বৈচিত্র্যের ভূমিকা সমূহ, সাংস্কৃতিক ও সামাজিক মূল্যবোধ, দ্বন্দ্ব, এবং বিদ্যমান সক্ষমতা সমূহ বিশদভাবে বর্ণনা করা সহ একটি প্রেক্ষাপট বিশ্লেষণ পরিচালনা করার প্রমাণ</w:t>
            </w:r>
          </w:p>
        </w:tc>
        <w:tc>
          <w:tcPr>
            <w:tcW w:w="708" w:type="dxa"/>
          </w:tcPr>
          <w:p w14:paraId="0000000C"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0D"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0E"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676F96FE" w14:textId="77777777" w:rsidTr="00032CD0">
        <w:tc>
          <w:tcPr>
            <w:tcW w:w="5524" w:type="dxa"/>
          </w:tcPr>
          <w:p w14:paraId="0000000F" w14:textId="77777777"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কর্মসূচি পরিকল্পনা তৈরিতে যে কমিউনিটি (পুরুষ, নারী, ছেলে, মেয়ে এবং প্রান্তিক বা ঝুঁকির সম্মুখীন জনগোষ্ঠী সহ) অংশগ্রহণ করেছে, তার প্রমাণ, যেমন অংশগ্রহণমূলকপরিকল্পনা কর্মশালার মাধ্যমে</w:t>
            </w:r>
          </w:p>
        </w:tc>
        <w:tc>
          <w:tcPr>
            <w:tcW w:w="708" w:type="dxa"/>
          </w:tcPr>
          <w:p w14:paraId="00000010"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11"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12"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3F007021" w14:textId="77777777" w:rsidTr="00032CD0">
        <w:tc>
          <w:tcPr>
            <w:tcW w:w="5524" w:type="dxa"/>
          </w:tcPr>
          <w:p w14:paraId="00000013" w14:textId="77777777"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কার সাথে, কোন পদ্ধতির মাধ্যমে, কার দ্বারা এবং কর্মসূচির কোন পর্যায়ে কী তথ্য প্রদান করা হবে, সেগুলি নির্দিষ্ট করে কর্মসূচি সম্পর্কে কমিউনিটিগুলিকে অবহিত রাখার অ্যাক্টিভিটি সমূহ, যেমন নিয়মিত কমিউনিটি মিটিং, নোটিশবোর্ড, এসএমএস, ইত্যাদি</w:t>
            </w:r>
          </w:p>
        </w:tc>
        <w:tc>
          <w:tcPr>
            <w:tcW w:w="708" w:type="dxa"/>
          </w:tcPr>
          <w:p w14:paraId="00000014"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15"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16"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0EDA845F" w14:textId="77777777" w:rsidTr="00032CD0">
        <w:tc>
          <w:tcPr>
            <w:tcW w:w="5524" w:type="dxa"/>
          </w:tcPr>
          <w:p w14:paraId="00000017" w14:textId="77777777"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কর্মসূচি পরিচালনা এবং সিদ্ধান্ত গ্রহণে অংশগ্রহণ করতে কমিউনিটিদেরকে সহায়তা করবে এমন অ্যাক্টিভিটি সমূহ, যেমন কমিউনিটি কমিটি, কমিউনিটি প্রতিনিধি, নিয়মিত ফোকাস গ্রুপ ডিসকাশন</w:t>
            </w:r>
          </w:p>
        </w:tc>
        <w:tc>
          <w:tcPr>
            <w:tcW w:w="708" w:type="dxa"/>
          </w:tcPr>
          <w:p w14:paraId="00000018"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19"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1A"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48E6FDEE" w14:textId="77777777" w:rsidTr="00032CD0">
        <w:tc>
          <w:tcPr>
            <w:tcW w:w="5524" w:type="dxa"/>
          </w:tcPr>
          <w:p w14:paraId="0000001B" w14:textId="77777777" w:rsidR="0013269F" w:rsidRDefault="008B1158" w:rsidP="00E97D91">
            <w:pPr>
              <w:spacing w:after="120" w:line="240" w:lineRule="auto"/>
              <w:ind w:left="-85"/>
              <w:rPr>
                <w:sz w:val="20"/>
                <w:szCs w:val="20"/>
                <w:rFonts w:ascii="Open Sans" w:eastAsia="Open Sans" w:hAnsi="Open Sans" w:cs="Open Sans"/>
              </w:rPr>
            </w:pPr>
            <w:r>
              <w:t xml:space="preserve">মতামত সংগ্রহ, বিশ্লেষণ, তাতে সাড়া দেওয়া এবং সে অনুযায়ী কাজ করার প্রক্রিয়া সহ </w:t>
            </w:r>
            <w:sdt>
              <w:sdtPr>
                <w:tag w:val="goog_rdk_0"/>
                <w:id w:val="-534126940"/>
              </w:sdtPr>
              <w:sdtContent>
                <w:r>
                  <w:t xml:space="preserve">সম্পূর্ণরূপে কার্যকরী এবং</w:t>
                </w:r>
                <w:r>
                  <w:rPr>
                    <w:sz w:val="20"/>
                    <w:rFonts w:ascii="Open Sans" w:hAnsi="Open Sans"/>
                  </w:rPr>
                  <w:t xml:space="preserve"> </w:t>
                </w:r>
              </w:sdtContent>
            </w:sdt>
            <w:r>
              <w:t xml:space="preserve">স্পষ্টভাবে ব্যাখ্যা করা একটি কমিউনিটি মতামত জানানোর ব্যবস্থা</w:t>
            </w:r>
            <w:r>
              <w:rPr>
                <w:sz w:val="20"/>
                <w:rFonts w:ascii="Open Sans" w:hAnsi="Open Sans"/>
              </w:rPr>
              <w:t xml:space="preserve"> </w:t>
            </w:r>
          </w:p>
        </w:tc>
        <w:tc>
          <w:tcPr>
            <w:tcW w:w="708" w:type="dxa"/>
          </w:tcPr>
          <w:p w14:paraId="0000001C"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1D"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1E"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7F06F3FA" w14:textId="77777777" w:rsidTr="00032CD0">
        <w:tc>
          <w:tcPr>
            <w:tcW w:w="5524" w:type="dxa"/>
          </w:tcPr>
          <w:p w14:paraId="0000001F" w14:textId="2608170B"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কমিউনিটি এনগেজমেন্ট পন্থাগুলি বাস্তবায়িত হচ্ছে কিনা এবং কর্মসূচিটি কমিউনিটির কাছে জবাবদিহিতা বজায় রাখছে কিনা, তা পরিবিক্ষণের জন্য সূচক সমূহ</w:t>
            </w:r>
            <w:r>
              <w:rPr>
                <w:sz w:val="20"/>
                <w:rFonts w:ascii="Open Sans" w:hAnsi="Open Sans"/>
              </w:rPr>
              <w:t xml:space="preserve"> </w:t>
            </w:r>
            <w:sdt>
              <w:sdtPr>
                <w:tag w:val="goog_rdk_1"/>
                <w:id w:val="-1051691786"/>
              </w:sdtPr>
              <w:sdtContent/>
            </w:sdt>
            <w:hyperlink r:id="rId11" w:history="1">
              <w:r>
                <w:rPr>
                  <w:rStyle w:val="Hyperlink"/>
                  <w:sz w:val="20"/>
                  <w:rFonts w:ascii="Open Sans" w:hAnsi="Open Sans"/>
                </w:rPr>
                <w:t xml:space="preserve">টুল ৭:</w:t>
              </w:r>
            </w:hyperlink>
            <w:r>
              <w:t xml:space="preserve">দিকনির্দেশনার জন্য </w:t>
            </w:r>
            <w:hyperlink r:id="rId11" w:history="1">
              <w:r>
                <w:rPr>
                  <w:rStyle w:val="Hyperlink"/>
                  <w:sz w:val="20"/>
                  <w:rFonts w:ascii="Open Sans" w:hAnsi="Open Sans"/>
                </w:rPr>
                <w:t xml:space="preserve">  সিইএ এম অ্যান্ড ই টুল</w:t>
              </w:r>
            </w:hyperlink>
          </w:p>
        </w:tc>
        <w:tc>
          <w:tcPr>
            <w:tcW w:w="708" w:type="dxa"/>
          </w:tcPr>
          <w:p w14:paraId="00000020"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21"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22" w14:textId="77777777" w:rsidR="0013269F" w:rsidRDefault="0013269F" w:rsidP="00E97D91">
            <w:pPr>
              <w:spacing w:after="120" w:line="240" w:lineRule="auto"/>
              <w:ind w:left="-85"/>
              <w:rPr>
                <w:rFonts w:ascii="Open Sans" w:eastAsia="Open Sans" w:hAnsi="Open Sans" w:cs="Open Sans"/>
                <w:sz w:val="20"/>
                <w:szCs w:val="20"/>
              </w:rPr>
            </w:pPr>
          </w:p>
        </w:tc>
      </w:tr>
      <w:tr w:rsidR="0013269F" w14:paraId="48CABC73" w14:textId="77777777" w:rsidTr="00032CD0">
        <w:tc>
          <w:tcPr>
            <w:tcW w:w="5524" w:type="dxa"/>
          </w:tcPr>
          <w:p w14:paraId="00000023" w14:textId="56A17C37" w:rsidR="0013269F" w:rsidRDefault="008B1158" w:rsidP="00E97D91">
            <w:pPr>
              <w:spacing w:after="120" w:line="240" w:lineRule="auto"/>
              <w:ind w:left="-85"/>
              <w:rPr>
                <w:sz w:val="20"/>
                <w:szCs w:val="20"/>
                <w:rFonts w:ascii="Open Sans" w:eastAsia="Open Sans" w:hAnsi="Open Sans" w:cs="Open Sans"/>
              </w:rPr>
            </w:pPr>
            <w:r>
              <w:rPr>
                <w:sz w:val="20"/>
                <w:rFonts w:ascii="Open Sans" w:hAnsi="Open Sans"/>
              </w:rPr>
              <w:t xml:space="preserve">পরিকল্পনার অ্যাক্টিভিটিগুলি কভার করার জন্য পর্যাপ্ত তহবিল সহ কর্মসূচি বাজেটে সিইএ অন্তর্ভুক্ত করা হয়েছে</w:t>
            </w:r>
            <w:r>
              <w:rPr>
                <w:sz w:val="20"/>
                <w:rFonts w:ascii="Open Sans" w:hAnsi="Open Sans"/>
              </w:rPr>
              <w:t xml:space="preserve"> </w:t>
            </w:r>
          </w:p>
        </w:tc>
        <w:tc>
          <w:tcPr>
            <w:tcW w:w="708" w:type="dxa"/>
          </w:tcPr>
          <w:p w14:paraId="00000024" w14:textId="77777777" w:rsidR="0013269F" w:rsidRDefault="0013269F" w:rsidP="00E97D91">
            <w:pPr>
              <w:spacing w:after="120" w:line="240" w:lineRule="auto"/>
              <w:ind w:left="-85"/>
              <w:rPr>
                <w:rFonts w:ascii="Open Sans" w:eastAsia="Open Sans" w:hAnsi="Open Sans" w:cs="Open Sans"/>
                <w:sz w:val="20"/>
                <w:szCs w:val="20"/>
              </w:rPr>
            </w:pPr>
          </w:p>
        </w:tc>
        <w:tc>
          <w:tcPr>
            <w:tcW w:w="709" w:type="dxa"/>
          </w:tcPr>
          <w:p w14:paraId="00000025" w14:textId="77777777" w:rsidR="0013269F" w:rsidRDefault="0013269F" w:rsidP="00E97D91">
            <w:pPr>
              <w:spacing w:after="120" w:line="240" w:lineRule="auto"/>
              <w:ind w:left="-85"/>
              <w:rPr>
                <w:rFonts w:ascii="Open Sans" w:eastAsia="Open Sans" w:hAnsi="Open Sans" w:cs="Open Sans"/>
                <w:sz w:val="20"/>
                <w:szCs w:val="20"/>
              </w:rPr>
            </w:pPr>
          </w:p>
        </w:tc>
        <w:tc>
          <w:tcPr>
            <w:tcW w:w="2126" w:type="dxa"/>
          </w:tcPr>
          <w:p w14:paraId="00000026" w14:textId="77777777" w:rsidR="0013269F" w:rsidRDefault="0013269F" w:rsidP="00E97D91">
            <w:pPr>
              <w:spacing w:after="120" w:line="240" w:lineRule="auto"/>
              <w:ind w:left="-85"/>
              <w:rPr>
                <w:rFonts w:ascii="Open Sans" w:eastAsia="Open Sans" w:hAnsi="Open Sans" w:cs="Open Sans"/>
                <w:sz w:val="20"/>
                <w:szCs w:val="20"/>
              </w:rPr>
            </w:pPr>
          </w:p>
        </w:tc>
      </w:tr>
    </w:tbl>
    <w:p w14:paraId="00000027" w14:textId="77777777" w:rsidR="0013269F" w:rsidRDefault="0013269F">
      <w:pPr>
        <w:rPr>
          <w:rFonts w:ascii="Open Sans" w:eastAsia="Open Sans" w:hAnsi="Open Sans" w:cs="Open Sans"/>
        </w:rPr>
      </w:pPr>
      <w:bookmarkStart w:id="0" w:name="_heading=h.30j0zll"/>
      <w:bookmarkEnd w:id="0"/>
    </w:p>
    <w:sectPr w:rsidR="0013269F" w:rsidSect="00B71462">
      <w:headerReference w:type="even" r:id="rId12"/>
      <w:headerReference w:type="default" r:id="rId13"/>
      <w:footerReference w:type="even" r:id="rId14"/>
      <w:footerReference w:type="default" r:id="rId15"/>
      <w:footerReference w:type="first" r:id="rId16"/>
      <w:pgSz w:w="11906" w:h="16838"/>
      <w:pgMar w:top="1209" w:right="2126" w:bottom="1122" w:left="1440"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384F5" w14:textId="77777777" w:rsidR="00DA1F27" w:rsidRDefault="00DA1F27">
      <w:pPr>
        <w:spacing w:after="0" w:line="240" w:lineRule="auto"/>
      </w:pPr>
      <w:r>
        <w:separator/>
      </w:r>
    </w:p>
  </w:endnote>
  <w:endnote w:type="continuationSeparator" w:id="0">
    <w:p w14:paraId="0B16CAF1" w14:textId="77777777" w:rsidR="00DA1F27" w:rsidRDefault="00DA1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Montserrat">
    <w:panose1 w:val="00000500000000000000"/>
    <w:charset w:val="4D"/>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Montserrat SemiBold">
    <w:panose1 w:val="000007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2658" w14:textId="2482CDBA" w:rsidR="00B71462" w:rsidRDefault="00B71462">
    <w:pPr>
      <w:pStyle w:val="Footer"/>
    </w:pPr>
    <w:r>
      <mc:AlternateContent>
        <mc:Choice Requires="wps">
          <w:drawing>
            <wp:anchor distT="0" distB="0" distL="0" distR="0" simplePos="0" relativeHeight="251660288" behindDoc="0" locked="0" layoutInCell="1" allowOverlap="1" wp14:anchorId="491B2FDD" wp14:editId="4EB7A47A">
              <wp:simplePos x="635" y="635"/>
              <wp:positionH relativeFrom="page">
                <wp:align>left</wp:align>
              </wp:positionH>
              <wp:positionV relativeFrom="page">
                <wp:align>bottom</wp:align>
              </wp:positionV>
              <wp:extent cx="443865" cy="443865"/>
              <wp:effectExtent l="0" t="0" r="6350"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7F98C3" w14:textId="39141AE0" w:rsidR="00B71462" w:rsidRPr="00B71462" w:rsidRDefault="00B71462" w:rsidP="00B71462">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1B2FDD" id="_x0000_t202" coordsize="21600,21600" o:spt="202" path="m,l,21600r21600,l21600,xe">
              <v:stroke joinstyle="miter"/>
              <v:path gradientshapeok="t" o:connecttype="rect"/>
            </v:shapetype>
            <v:shape id="Text Box 3" o:spid="_x0000_s1026"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0B7F98C3" w14:textId="39141AE0" w:rsidR="00B71462" w:rsidRPr="00B71462" w:rsidRDefault="00B71462" w:rsidP="00B71462">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47EDC" w14:textId="510B8794" w:rsidR="00B71462" w:rsidRDefault="00B71462">
    <w:pPr>
      <w:pStyle w:val="Footer"/>
    </w:pPr>
    <w:r>
      <mc:AlternateContent>
        <mc:Choice Requires="wps">
          <w:drawing>
            <wp:anchor distT="0" distB="0" distL="0" distR="0" simplePos="0" relativeHeight="251661312" behindDoc="0" locked="0" layoutInCell="1" allowOverlap="1" wp14:anchorId="425D0A36" wp14:editId="669D39B7">
              <wp:simplePos x="0" y="0"/>
              <wp:positionH relativeFrom="page">
                <wp:align>left</wp:align>
              </wp:positionH>
              <wp:positionV relativeFrom="page">
                <wp:align>bottom</wp:align>
              </wp:positionV>
              <wp:extent cx="443865" cy="443865"/>
              <wp:effectExtent l="0" t="0" r="6350" b="0"/>
              <wp:wrapNone/>
              <wp:docPr id="4"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E599EC" w14:textId="034EA2EB" w:rsidR="00B71462" w:rsidRPr="00B71462" w:rsidRDefault="00B71462" w:rsidP="00B71462">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25D0A36" id="_x0000_t202" coordsize="21600,21600" o:spt="202" path="m,l,21600r21600,l21600,xe">
              <v:stroke joinstyle="miter"/>
              <v:path gradientshapeok="t" o:connecttype="rect"/>
            </v:shapetype>
            <v:shape id="Text Box 4" o:spid="_x0000_s1027"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00E599EC" w14:textId="034EA2EB" w:rsidR="00B71462" w:rsidRPr="00B71462" w:rsidRDefault="00B71462" w:rsidP="00B71462">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C14D" w14:textId="510672F0" w:rsidR="00B71462" w:rsidRDefault="00B71462">
    <w:pPr>
      <w:pStyle w:val="Footer"/>
    </w:pPr>
    <w:r>
      <mc:AlternateContent>
        <mc:Choice Requires="wps">
          <w:drawing>
            <wp:anchor distT="0" distB="0" distL="0" distR="0" simplePos="0" relativeHeight="251659264" behindDoc="0" locked="0" layoutInCell="1" allowOverlap="1" wp14:anchorId="7F742EE3" wp14:editId="4EF3EE76">
              <wp:simplePos x="635" y="635"/>
              <wp:positionH relativeFrom="page">
                <wp:align>left</wp:align>
              </wp:positionH>
              <wp:positionV relativeFrom="page">
                <wp:align>bottom</wp:align>
              </wp:positionV>
              <wp:extent cx="443865" cy="443865"/>
              <wp:effectExtent l="0" t="0" r="6350" b="0"/>
              <wp:wrapNone/>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7DF631" w14:textId="2F5A9EC7" w:rsidR="00B71462" w:rsidRPr="00B71462" w:rsidRDefault="00B71462" w:rsidP="00B71462">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742EE3"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447DF631" w14:textId="2F5A9EC7" w:rsidR="00B71462" w:rsidRPr="00B71462" w:rsidRDefault="00B71462" w:rsidP="00B71462">
                    <w:pPr>
                      <w:spacing w:after="0"/>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1635A" w14:textId="77777777" w:rsidR="00DA1F27" w:rsidRDefault="00DA1F27">
      <w:pPr>
        <w:spacing w:after="0" w:line="240" w:lineRule="auto"/>
      </w:pPr>
      <w:r>
        <w:separator/>
      </w:r>
    </w:p>
  </w:footnote>
  <w:footnote w:type="continuationSeparator" w:id="0">
    <w:p w14:paraId="76C7FF8F" w14:textId="77777777" w:rsidR="00DA1F27" w:rsidRDefault="00DA1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13269F" w:rsidRDefault="008B1158">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00000031" w14:textId="77777777" w:rsidR="0013269F" w:rsidRDefault="0013269F">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13269F" w:rsidRDefault="0013269F">
    <w:pPr>
      <w:pStyle w:val="Heading1"/>
      <w:spacing w:before="120"/>
      <w:ind w:right="360"/>
      <w:rPr>
        <w:b w:val="0"/>
        <w:sz w:val="24"/>
        <w:szCs w:val="24"/>
      </w:rPr>
    </w:pPr>
  </w:p>
  <w:p w14:paraId="00000029" w14:textId="70A9BFA6" w:rsidR="0013269F" w:rsidRDefault="008B1158">
    <w:pPr>
      <w:pBdr>
        <w:top w:val="nil"/>
        <w:left w:val="nil"/>
        <w:bottom w:val="nil"/>
        <w:right w:val="nil"/>
        <w:between w:val="nil"/>
      </w:pBdr>
      <w:tabs>
        <w:tab w:val="center" w:pos="4513"/>
        <w:tab w:val="right" w:pos="9026"/>
      </w:tabs>
      <w:spacing w:after="0" w:line="240" w:lineRule="auto"/>
      <w:rPr>
        <w:b/>
        <w:color w:val="FFFFFF"/>
        <w:rFonts w:ascii="Montserrat" w:eastAsia="Montserrat" w:hAnsi="Montserrat" w:cs="Montserrat"/>
      </w:rPr>
    </w:pPr>
    <w:r>
      <w:rPr>
        <w:b/>
        <w:color w:val="FFFFFF"/>
        <w:rFonts w:ascii="Montserrat" w:eastAsia="Montserrat" w:hAnsi="Montserrat" w:cs="Montserrat"/>
      </w:rPr>
      <w:fldChar w:fldCharType="begin"/>
    </w:r>
    <w:r>
      <w:rPr>
        <w:b/>
        <w:color w:val="FFFFFF"/>
        <w:rFonts w:ascii="Montserrat" w:eastAsia="Montserrat" w:hAnsi="Montserrat" w:cs="Montserrat"/>
      </w:rPr>
      <w:instrText>PAGE</w:instrText>
    </w:r>
    <w:r>
      <w:rPr>
        <w:b/>
        <w:color w:val="FFFFFF"/>
        <w:rFonts w:ascii="Montserrat" w:eastAsia="Montserrat" w:hAnsi="Montserrat" w:cs="Montserrat"/>
      </w:rPr>
      <w:fldChar w:fldCharType="separate"/>
    </w:r>
    <w:r w:rsidR="00032CD0">
      <w:rPr>
        <w:b/>
        <w:color w:val="FFFFFF"/>
        <w:rFonts w:ascii="Montserrat" w:eastAsia="Montserrat" w:hAnsi="Montserrat" w:cs="Montserrat"/>
      </w:rPr>
      <w:t>1</w:t>
    </w:r>
    <w:r>
      <w:rPr>
        <w:b/>
        <w:color w:val="FFFFFF"/>
        <w:rFonts w:ascii="Montserrat" w:eastAsia="Montserrat" w:hAnsi="Montserrat" w:cs="Montserrat"/>
      </w:rPr>
      <w:fldChar w:fldCharType="end"/>
    </w:r>
  </w:p>
  <w:tbl>
    <w:tblPr>
      <w:tblStyle w:val="a3"/>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363"/>
    </w:tblGrid>
    <w:tr w:rsidR="0013269F" w14:paraId="4A9F4D6F" w14:textId="77777777" w:rsidTr="00032CD0">
      <w:trPr>
        <w:trHeight w:val="273"/>
      </w:trPr>
      <w:tc>
        <w:tcPr>
          <w:tcW w:w="8663" w:type="dxa"/>
          <w:tcBorders>
            <w:top w:val="nil"/>
            <w:left w:val="nil"/>
            <w:bottom w:val="single" w:sz="4" w:space="0" w:color="000000"/>
          </w:tcBorders>
          <w:vAlign w:val="bottom"/>
        </w:tcPr>
        <w:p w14:paraId="0000002A" w14:textId="77777777" w:rsidR="0013269F" w:rsidRDefault="008B1158">
          <w:pPr>
            <w:pBdr>
              <w:top w:val="nil"/>
              <w:left w:val="nil"/>
              <w:bottom w:val="nil"/>
              <w:right w:val="nil"/>
              <w:between w:val="nil"/>
            </w:pBdr>
            <w:tabs>
              <w:tab w:val="center" w:pos="4513"/>
              <w:tab w:val="right" w:pos="9026"/>
            </w:tabs>
            <w:spacing w:after="0" w:line="240" w:lineRule="auto"/>
            <w:ind w:left="720"/>
            <w:jc w:val="right"/>
            <w:rPr>
              <w:b/>
              <w:color w:val="000000"/>
              <w:sz w:val="24"/>
              <w:szCs w:val="24"/>
              <w:rFonts w:ascii="Montserrat" w:eastAsia="Montserrat" w:hAnsi="Montserrat" w:cs="Montserrat"/>
            </w:rPr>
          </w:pPr>
          <w:r>
            <w:rPr>
              <w:b/>
              <w:color w:val="000000"/>
              <w:sz w:val="24"/>
              <w:rFonts w:ascii="Montserrat" w:hAnsi="Montserrat"/>
            </w:rPr>
            <w:t xml:space="preserve"> </w:t>
          </w:r>
          <w:r>
            <w:drawing>
              <wp:anchor distT="0" distB="0" distL="114300" distR="114300" simplePos="0" relativeHeight="251658240" behindDoc="0" locked="0" layoutInCell="1" hidden="0" allowOverlap="1" wp14:anchorId="0C2738CE" wp14:editId="57BADCC0">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2"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0000002B" w14:textId="77777777" w:rsidR="0013269F" w:rsidRDefault="0013269F">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0000002C" w14:textId="77777777" w:rsidR="0013269F" w:rsidRDefault="008B1158">
          <w:pPr>
            <w:pBdr>
              <w:top w:val="nil"/>
              <w:left w:val="nil"/>
              <w:bottom w:val="nil"/>
              <w:right w:val="nil"/>
              <w:between w:val="nil"/>
            </w:pBdr>
            <w:tabs>
              <w:tab w:val="center" w:pos="4513"/>
              <w:tab w:val="right" w:pos="9026"/>
            </w:tabs>
            <w:spacing w:after="0" w:line="240"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0000002D" w14:textId="69E28646" w:rsidR="0013269F" w:rsidRDefault="00D40695">
          <w:pPr>
            <w:pBdr>
              <w:top w:val="nil"/>
              <w:left w:val="nil"/>
              <w:bottom w:val="nil"/>
              <w:right w:val="nil"/>
              <w:between w:val="nil"/>
            </w:pBdr>
            <w:tabs>
              <w:tab w:val="center" w:pos="4513"/>
              <w:tab w:val="right" w:pos="9026"/>
            </w:tabs>
            <w:spacing w:after="0" w:line="240" w:lineRule="auto"/>
            <w:ind w:left="720"/>
            <w:jc w:val="right"/>
            <w:rPr>
              <w:color w:val="000000"/>
              <w:sz w:val="24"/>
              <w:szCs w:val="24"/>
              <w:rFonts w:ascii="Montserrat" w:eastAsia="Montserrat" w:hAnsi="Montserrat" w:cs="Montserrat"/>
            </w:rPr>
          </w:pPr>
          <w:r>
            <w:rPr>
              <w:color w:val="000000"/>
              <w:sz w:val="21"/>
              <w:rFonts w:ascii="Montserrat" w:hAnsi="Montserrat"/>
            </w:rPr>
            <w:t xml:space="preserve">টুল ১১:</w:t>
          </w:r>
          <w:r>
            <w:rPr>
              <w:color w:val="000000"/>
              <w:sz w:val="21"/>
              <w:rFonts w:ascii="Montserrat" w:hAnsi="Montserrat"/>
            </w:rPr>
            <w:t xml:space="preserve"> </w:t>
          </w:r>
          <w:r>
            <w:rPr>
              <w:color w:val="000000"/>
              <w:sz w:val="21"/>
              <w:rFonts w:ascii="Montserrat" w:hAnsi="Montserrat"/>
            </w:rPr>
            <w:t xml:space="preserve">পরিকল্পনা সমূহের জন্য সিইএ চেকলিস্ট</w:t>
          </w:r>
        </w:p>
      </w:tc>
      <w:tc>
        <w:tcPr>
          <w:tcW w:w="363" w:type="dxa"/>
          <w:tcBorders>
            <w:top w:val="nil"/>
            <w:bottom w:val="single" w:sz="4" w:space="0" w:color="C55911"/>
          </w:tcBorders>
          <w:shd w:val="clear" w:color="auto" w:fill="FF0000"/>
          <w:vAlign w:val="bottom"/>
        </w:tcPr>
        <w:p w14:paraId="0000002E" w14:textId="77777777" w:rsidR="0013269F" w:rsidRDefault="0013269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0000002F" w14:textId="77777777" w:rsidR="0013269F" w:rsidRDefault="001326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450"/>
    <w:multiLevelType w:val="multilevel"/>
    <w:tmpl w:val="E54C5BB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11174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9F"/>
    <w:rsid w:val="00032CD0"/>
    <w:rsid w:val="0013269F"/>
    <w:rsid w:val="00587F2B"/>
    <w:rsid w:val="008B1158"/>
    <w:rsid w:val="00A640BD"/>
    <w:rsid w:val="00A746DD"/>
    <w:rsid w:val="00B47861"/>
    <w:rsid w:val="00B71462"/>
    <w:rsid w:val="00D33764"/>
    <w:rsid w:val="00D40695"/>
    <w:rsid w:val="00DA1F27"/>
    <w:rsid w:val="00E57F8B"/>
    <w:rsid w:val="00E923BF"/>
    <w:rsid w:val="00E97D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75D7013"/>
  <w15:docId w15:val="{A0698697-C2A8-B843-9CC5-45C0EE1C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B21"/>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bn-BD"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bn-BD"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bn-BD"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bn-BD"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bn-BD"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bn-BD"/>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bn-BD"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bn-BD"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bn-BD"/>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semiHidden/>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rFonts w:ascii="Roboto" w:hAnsi="Roboto"/>
      <w:sz w:val="22"/>
      <w:szCs w:val="22"/>
      <w:lang w:val="bn-BD"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table" w:customStyle="1" w:styleId="a3">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c9xiuKbLCxCGqk4Kd132miK6wUA==">AMUW2mV3VUfCmZ5OytarkuuKI6bjEZASzxlAlRvmIF92xj0VWU1pxyGGoufI8yDKUgYPdQp3EmMOK8fcXknSsnRcCOS0qr9pIBshBj1NWgGBv39hMjgoVzRtAMl1wHJ9n1Z9dN14JyR+uKS4bsNNBN4E5B5pCN90tKKi2dnzEzusW4M6JMR1VsCTMUnDdPSgh/FcClNiq3pi4tiySyRkUynuK0kXUgijo8FlsxtBESfQ3QzCoW6HYKZpGv54GcU3u6ROpXnO04LH7Rj1fQtJg++qCKve9660Nu3EHTGCrI2vbssd9cPor6pGV0uY7yu97gvhzuui6ASpJViEBdHNMfmIRe/6tx+vvDDgkUtrCZjYJ0aNFYWeR02eQ/6H2f+Hxqwk2lsLkASnBJzq7czfwM8Y/Y2SKpa2ROlRjUx48oYDf1sihB/oXQblSY8UKeTX1pg7w6jvTA8B22HyNSThtEbpdnnHq7wvB55mYJc1Q6ILW2J5GReVtvCIvpAkuYewv9Hm6+4/VfFIP8jY7SpJNoMIUeCOBOJyxPhN+4y1EVKD0fxw5CzdBjH6nNin76Vr+jqVqAkgACDqNeRi4va5oiRC+H8/yNsRNIOyZtQAifCBJU2YVmBzUUf95KMoPZZaKkHUhSS2io+Eabg8OUaFrZVcqRgthMK3h33nb67Nmbpq0aFojrVKAHuRGwY0knyxrjH0qDHeQVjes+a6Ru15U8l/aU5RG0w+Riq4xlKFIhTdL77q7IRXyn4bNjZF3S+BByETNlqynlyghmKiMZTWtG9mWoGIRv6gLqH9+qEuOHbiW4f3sCRp1yGuh16TWXZmZ9XlWN5tTxYx8GsvUkQOAsZ/Q6JWUqacZwtzZcvyyZgq80VeN2PD9aFjTY17xlEyMmrbYS44hStafL9RzJvuzXDilijfPwWA1aOMFtYOUra9O7GWSvAM6HTSI+KWE441L771DcKb29qPydNv2Oz4G6GAsgXgEqn76Nq0XjYWdLcG5PM/n98wpQ0OEXb1ORhlJQmQU1Y4USi0w+5WwZLakX7kmBPJwBMeNOKlGVPSFIkDODiCUV7c8EEQpAkxsZulxTXOCD8wnty2vD9WrDVkGcBcZRBm8PRtqpkAqL0P3ar5eXeUHVKc49HyFENWa9Akf/pFkCVojUGPt5sEFesZjo970OseJVUvXL02pudsTLyQMN2D4AhuVE+ji4gwgiHlW/l2yZq86+8RqwdR4DPLPNqT4krjnm7PmR8pVWpgDgtfnT06lu3WEYbBMY+Qn8MJQS7tu6z+sIt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B4B292-B83F-481E-9FBE-66376C3BC946}"/>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10EA14C-992C-4C77-B136-2F08508D71E2}">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4.xml><?xml version="1.0" encoding="utf-8"?>
<ds:datastoreItem xmlns:ds="http://schemas.openxmlformats.org/officeDocument/2006/customXml" ds:itemID="{C8AE2514-3E51-4755-87D2-823E739B4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7</cp:revision>
  <dcterms:created xsi:type="dcterms:W3CDTF">2021-09-24T18:27:00Z</dcterms:created>
  <dcterms:modified xsi:type="dcterms:W3CDTF">2023-03-15T11:15:00Z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1,3,4</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2023-03-15T11:14:17Z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a7e24277-f945-44de-be4a-741f1828228e</vt:lpwstr>
  </property>
  <property fmtid="{D5CDD505-2E9C-101B-9397-08002B2CF9AE}" pid="14" name="MSIP_Label_caf3f7fd-5cd4-4287-9002-aceb9af13c42_ContentBits">
    <vt:lpwstr>2</vt:lpwstr>
  </property>
  <property fmtid="{D5CDD505-2E9C-101B-9397-08002B2CF9AE}" pid="15" name="MediaServiceImageTags">
    <vt:lpwstr/>
  </property>
</Properties>
</file>