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C3B9B" w14:textId="174F3EE4" w:rsidR="00266E7B" w:rsidRPr="00CD15BC" w:rsidRDefault="00266E7B" w:rsidP="00266E7B">
      <w:pPr>
        <w:bidi/>
        <w:rPr>
          <w:rFonts w:asciiTheme="minorHAnsi" w:eastAsia="Open Sans" w:hAnsiTheme="minorHAnsi" w:cstheme="minorHAnsi"/>
          <w:sz w:val="20"/>
          <w:szCs w:val="20"/>
          <w:rtl/>
        </w:rPr>
      </w:pPr>
      <w:r w:rsidRPr="00CD15BC">
        <w:rPr>
          <w:rFonts w:asciiTheme="minorHAnsi" w:hAnsiTheme="minorHAnsi" w:cstheme="minorHAnsi"/>
          <w:color w:val="FF0000"/>
          <w:rtl/>
          <w:lang w:val="x-none" w:eastAsia="x-none"/>
        </w:rPr>
        <w:t xml:space="preserve">أداة 11: </w:t>
      </w:r>
      <w:r w:rsidRPr="00CD15BC">
        <w:rPr>
          <w:rFonts w:asciiTheme="minorHAnsi" w:eastAsia="Open Sans" w:hAnsiTheme="minorHAnsi" w:cstheme="minorHAnsi"/>
          <w:sz w:val="20"/>
          <w:szCs w:val="20"/>
          <w:rtl/>
        </w:rPr>
        <w:t>قائمة مرجعية لخطط المساءلة والمشاركة المجتمعية</w:t>
      </w:r>
    </w:p>
    <w:p w14:paraId="1BB942AE" w14:textId="60692AD5" w:rsidR="00266E7B" w:rsidRPr="00CD15BC" w:rsidRDefault="00266E7B" w:rsidP="00266E7B">
      <w:pPr>
        <w:bidi/>
        <w:rPr>
          <w:rFonts w:asciiTheme="minorHAnsi" w:hAnsiTheme="minorHAnsi" w:cstheme="minorHAnsi"/>
          <w:lang w:val="x-none" w:eastAsia="x-none"/>
        </w:rPr>
      </w:pPr>
      <w:r w:rsidRPr="00CD15BC">
        <w:rPr>
          <w:rFonts w:asciiTheme="minorHAnsi" w:eastAsia="Open Sans" w:hAnsiTheme="minorHAnsi" w:cstheme="minorHAnsi"/>
          <w:sz w:val="20"/>
          <w:szCs w:val="20"/>
          <w:rtl/>
        </w:rPr>
        <w:t>قائمة مرجعية بسيطة لمديري البرامج، والقطاعات، ورؤساء الأقسام، وموظفي التخطيط والرصد والتقييم والإبلاغ لتقييم ما إذا كانت خطة البرنامج قد تضمنت المساءلة والمشاركة المجتمعية بشكل كافٍ</w:t>
      </w:r>
      <w:r w:rsidRPr="00CD15BC">
        <w:rPr>
          <w:rFonts w:asciiTheme="minorHAnsi" w:eastAsia="Calibri" w:hAnsiTheme="minorHAnsi" w:cstheme="minorHAnsi"/>
          <w:color w:val="000000"/>
          <w:rtl/>
          <w:lang w:eastAsia="en-GB"/>
        </w:rPr>
        <w:t>.</w:t>
      </w:r>
    </w:p>
    <w:tbl>
      <w:tblPr>
        <w:tblStyle w:val="a2"/>
        <w:bidiVisual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708"/>
        <w:gridCol w:w="709"/>
        <w:gridCol w:w="2126"/>
      </w:tblGrid>
      <w:tr w:rsidR="0013269F" w:rsidRPr="00CD15BC" w14:paraId="49841682" w14:textId="77777777" w:rsidTr="00164663">
        <w:tc>
          <w:tcPr>
            <w:tcW w:w="5524" w:type="dxa"/>
          </w:tcPr>
          <w:p w14:paraId="00000003" w14:textId="4D9BDA21" w:rsidR="0013269F" w:rsidRPr="00CD15BC" w:rsidRDefault="00266E7B" w:rsidP="00266E7B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b/>
                <w:sz w:val="24"/>
                <w:szCs w:val="24"/>
              </w:rPr>
            </w:pPr>
            <w:r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 xml:space="preserve">هل تتضمن الخطة: </w:t>
            </w:r>
          </w:p>
        </w:tc>
        <w:tc>
          <w:tcPr>
            <w:tcW w:w="708" w:type="dxa"/>
          </w:tcPr>
          <w:p w14:paraId="00000004" w14:textId="50CB0BBC" w:rsidR="0013269F" w:rsidRPr="00CD15BC" w:rsidRDefault="00266E7B" w:rsidP="00266E7B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b/>
                <w:sz w:val="24"/>
                <w:szCs w:val="24"/>
              </w:rPr>
            </w:pPr>
            <w:r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>نعم</w:t>
            </w:r>
          </w:p>
        </w:tc>
        <w:tc>
          <w:tcPr>
            <w:tcW w:w="709" w:type="dxa"/>
          </w:tcPr>
          <w:p w14:paraId="00000005" w14:textId="19DB333C" w:rsidR="0013269F" w:rsidRPr="00CD15BC" w:rsidRDefault="00266E7B" w:rsidP="00266E7B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b/>
                <w:sz w:val="24"/>
                <w:szCs w:val="24"/>
              </w:rPr>
            </w:pPr>
            <w:r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>لا</w:t>
            </w:r>
          </w:p>
        </w:tc>
        <w:tc>
          <w:tcPr>
            <w:tcW w:w="2126" w:type="dxa"/>
          </w:tcPr>
          <w:p w14:paraId="00000006" w14:textId="60F429FF" w:rsidR="00266E7B" w:rsidRPr="00CD15BC" w:rsidRDefault="00266E7B" w:rsidP="00164663">
            <w:pPr>
              <w:bidi/>
              <w:spacing w:after="60" w:line="240" w:lineRule="auto"/>
              <w:ind w:left="-85"/>
              <w:rPr>
                <w:rFonts w:asciiTheme="minorHAnsi" w:eastAsia="Open Sans" w:hAnsiTheme="minorHAnsi" w:cstheme="minorHAnsi"/>
                <w:b/>
                <w:sz w:val="24"/>
                <w:szCs w:val="24"/>
              </w:rPr>
            </w:pPr>
            <w:r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 xml:space="preserve">إذا كانت الإجابة لا، </w:t>
            </w:r>
            <w:r w:rsidR="00164663"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>وضح</w:t>
            </w:r>
            <w:r w:rsidRPr="00CD15BC">
              <w:rPr>
                <w:rFonts w:asciiTheme="minorHAnsi" w:eastAsia="Open Sans" w:hAnsiTheme="minorHAnsi" w:cstheme="minorHAnsi"/>
                <w:b/>
                <w:sz w:val="24"/>
                <w:szCs w:val="24"/>
                <w:rtl/>
              </w:rPr>
              <w:t xml:space="preserve"> إجراءات المتابعة</w:t>
            </w:r>
          </w:p>
        </w:tc>
      </w:tr>
      <w:tr w:rsidR="0013269F" w:rsidRPr="00CD15BC" w14:paraId="6B604640" w14:textId="77777777" w:rsidTr="00164663">
        <w:tc>
          <w:tcPr>
            <w:tcW w:w="5524" w:type="dxa"/>
          </w:tcPr>
          <w:p w14:paraId="00000007" w14:textId="14F9C14A" w:rsidR="00266E7B" w:rsidRPr="00CD15BC" w:rsidRDefault="00266E7B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أدلة على استشارة المجتمع بشأن احتياجاته وأولوياته وآرائه أثناء عملية التقييم، بما في ذلك الطرق المفضلة لتلقي المعلومات والمشاركة وتقديم التغذية الراجعة</w:t>
            </w:r>
          </w:p>
        </w:tc>
        <w:tc>
          <w:tcPr>
            <w:tcW w:w="708" w:type="dxa"/>
          </w:tcPr>
          <w:p w14:paraId="00000008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09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0A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6773FAF6" w14:textId="77777777" w:rsidTr="00164663">
        <w:tc>
          <w:tcPr>
            <w:tcW w:w="5524" w:type="dxa"/>
          </w:tcPr>
          <w:p w14:paraId="4C78F2F9" w14:textId="3D6E2F97" w:rsidR="00266E7B" w:rsidRPr="00CD15BC" w:rsidRDefault="00266E7B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أدلة على إجراء تحليل للسياق، بما في ذلك تحديد فئات المجتمع وقادته، وديناميات السلطة، وأدوار النوع الاجتماعي والتنوع، والقيم الثقافية والاجتماعية، والصراع، والقدرات الحالية</w:t>
            </w:r>
          </w:p>
          <w:p w14:paraId="0000000B" w14:textId="77777777" w:rsidR="00266E7B" w:rsidRPr="00CD15BC" w:rsidRDefault="00266E7B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0000000C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0D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0E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676F96FE" w14:textId="77777777" w:rsidTr="00164663">
        <w:tc>
          <w:tcPr>
            <w:tcW w:w="5524" w:type="dxa"/>
          </w:tcPr>
          <w:p w14:paraId="0000000F" w14:textId="3FB260D4" w:rsidR="00266E7B" w:rsidRPr="00CD15BC" w:rsidRDefault="00266E7B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أدلة  على مشاركة المجتمع (بما في ذلك الرجال والنساء والفتيان والفتيات والفئات المهمشة أو المعرضة للخطر) في وضع خطة البرنامج، على سبيل المثال، من خلال ورش عمل التخطيط التشاركي</w:t>
            </w:r>
          </w:p>
        </w:tc>
        <w:tc>
          <w:tcPr>
            <w:tcW w:w="708" w:type="dxa"/>
          </w:tcPr>
          <w:p w14:paraId="00000010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1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12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3F007021" w14:textId="77777777" w:rsidTr="00164663">
        <w:tc>
          <w:tcPr>
            <w:tcW w:w="5524" w:type="dxa"/>
          </w:tcPr>
          <w:p w14:paraId="00000013" w14:textId="069FE8A6" w:rsidR="00266E7B" w:rsidRPr="00CD15BC" w:rsidRDefault="00266E7B" w:rsidP="00D570F5">
            <w:pPr>
              <w:bidi/>
              <w:spacing w:line="240" w:lineRule="auto"/>
              <w:ind w:left="-85"/>
              <w:jc w:val="both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أنشطة لإبقاء المجتمعات على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اطلاع بشأن 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البرنامج، وتحديد المعلومات التي سيتم مشاركتها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والجهات التي ستُشارك معها تلك المعلومات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،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والأساليب المستخدمة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،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والجهة التي ستقدم تلك المعلومات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،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وأساليب توفير تلك المعلومات في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 البرنامج، على سبيل المثال، ال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لقاءات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 المجتمعية المنتظمة، ولوحات ال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إعلانات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، والرسائل النصية القصيرة، </w:t>
            </w:r>
            <w:r w:rsidR="00D570F5"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ونحو ذلك </w:t>
            </w:r>
          </w:p>
        </w:tc>
        <w:tc>
          <w:tcPr>
            <w:tcW w:w="708" w:type="dxa"/>
          </w:tcPr>
          <w:p w14:paraId="00000014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5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16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0EDA845F" w14:textId="77777777" w:rsidTr="00164663">
        <w:tc>
          <w:tcPr>
            <w:tcW w:w="5524" w:type="dxa"/>
          </w:tcPr>
          <w:p w14:paraId="00000017" w14:textId="49CEB9FA" w:rsidR="00D570F5" w:rsidRPr="00CD15BC" w:rsidRDefault="00D570F5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>الأنشطة التي ستساعد المجتمعات على المشاركة في إدارة البرنامج واتخاذ القرارات، على سبيل المثال، اللجان المجتمعية والممثلون المجتمعيون وحلقات النقاش المركزة المنتظمة</w:t>
            </w:r>
          </w:p>
        </w:tc>
        <w:tc>
          <w:tcPr>
            <w:tcW w:w="708" w:type="dxa"/>
          </w:tcPr>
          <w:p w14:paraId="00000018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9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1A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48E6FDEE" w14:textId="77777777" w:rsidTr="00164663">
        <w:tc>
          <w:tcPr>
            <w:tcW w:w="5524" w:type="dxa"/>
          </w:tcPr>
          <w:p w14:paraId="0000001B" w14:textId="73DE2129" w:rsidR="00D570F5" w:rsidRPr="00CD15BC" w:rsidRDefault="00D570F5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آلية تغذية راجعة مجتمعية تتضمن عملية لجمع التغذية الراجعة وتحليلها والاستجابة لها والتصرف بناء عليها والتي تكون فعالة بشكل كامل ومفصلة على نحو واضح </w:t>
            </w:r>
          </w:p>
        </w:tc>
        <w:tc>
          <w:tcPr>
            <w:tcW w:w="708" w:type="dxa"/>
          </w:tcPr>
          <w:p w14:paraId="0000001C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1D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1E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7F06F3FA" w14:textId="77777777" w:rsidTr="00164663">
        <w:tc>
          <w:tcPr>
            <w:tcW w:w="5524" w:type="dxa"/>
          </w:tcPr>
          <w:p w14:paraId="0000001F" w14:textId="71F2582E" w:rsidR="00D570F5" w:rsidRPr="00CD15BC" w:rsidRDefault="00D570F5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مؤشرات لرصد أساليب المشاركة المجتمعية المستخدمة وخضوع البرنامج للمساءلة أمام المجتمعات. انظر </w:t>
            </w:r>
            <w:r w:rsidRPr="00CD15BC">
              <w:rPr>
                <w:rFonts w:asciiTheme="minorHAnsi" w:eastAsia="Open Sans" w:hAnsiTheme="minorHAnsi" w:cstheme="minorHAnsi"/>
                <w:color w:val="FF0000"/>
                <w:sz w:val="20"/>
                <w:szCs w:val="20"/>
                <w:rtl/>
              </w:rPr>
              <w:t xml:space="preserve">أداة 7: رصد وتقدير المشاركة المجتمعية والمساءلة </w:t>
            </w: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لمزيد من الإرشادات. </w:t>
            </w:r>
          </w:p>
        </w:tc>
        <w:tc>
          <w:tcPr>
            <w:tcW w:w="708" w:type="dxa"/>
          </w:tcPr>
          <w:p w14:paraId="00000020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21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22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  <w:tr w:rsidR="0013269F" w:rsidRPr="00CD15BC" w14:paraId="48CABC73" w14:textId="77777777" w:rsidTr="00164663">
        <w:tc>
          <w:tcPr>
            <w:tcW w:w="5524" w:type="dxa"/>
          </w:tcPr>
          <w:p w14:paraId="6E307DF5" w14:textId="5CA1563A" w:rsidR="00D570F5" w:rsidRPr="00CD15BC" w:rsidRDefault="00D570F5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</w:pPr>
            <w:r w:rsidRPr="00CD15BC">
              <w:rPr>
                <w:rFonts w:asciiTheme="minorHAnsi" w:eastAsia="Open Sans" w:hAnsiTheme="minorHAnsi" w:cstheme="minorHAnsi"/>
                <w:sz w:val="20"/>
                <w:szCs w:val="20"/>
                <w:rtl/>
              </w:rPr>
              <w:t xml:space="preserve">إدراج المشاركة المجتمعية والمساءلة في ميزانية البرنامج مع توفير تمويل كاف لتغطية الأنشطة الموجودة في الخطة </w:t>
            </w:r>
          </w:p>
          <w:p w14:paraId="00000023" w14:textId="56A17C37" w:rsidR="00D570F5" w:rsidRPr="00CD15BC" w:rsidRDefault="00D570F5" w:rsidP="00D570F5">
            <w:pPr>
              <w:bidi/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00000024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000025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000026" w14:textId="77777777" w:rsidR="0013269F" w:rsidRPr="00CD15BC" w:rsidRDefault="0013269F" w:rsidP="00B47861">
            <w:pPr>
              <w:spacing w:line="240" w:lineRule="auto"/>
              <w:ind w:left="-85"/>
              <w:rPr>
                <w:rFonts w:asciiTheme="minorHAnsi" w:eastAsia="Open Sans" w:hAnsiTheme="minorHAnsi" w:cstheme="minorHAnsi"/>
                <w:sz w:val="20"/>
                <w:szCs w:val="20"/>
              </w:rPr>
            </w:pPr>
          </w:p>
        </w:tc>
      </w:tr>
    </w:tbl>
    <w:p w14:paraId="00000027" w14:textId="77777777" w:rsidR="0013269F" w:rsidRPr="00CD15BC" w:rsidRDefault="0013269F">
      <w:pPr>
        <w:rPr>
          <w:rFonts w:asciiTheme="minorHAnsi" w:eastAsia="Open Sans" w:hAnsiTheme="minorHAnsi" w:cstheme="minorHAnsi"/>
        </w:rPr>
      </w:pPr>
      <w:bookmarkStart w:id="0" w:name="_heading=h.30j0zll" w:colFirst="0" w:colLast="0"/>
      <w:bookmarkEnd w:id="0"/>
    </w:p>
    <w:sectPr w:rsidR="0013269F" w:rsidRPr="00CD1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09" w:right="2126" w:bottom="1080" w:left="1440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C67DF" w14:textId="77777777" w:rsidR="000D2526" w:rsidRDefault="000D2526">
      <w:pPr>
        <w:spacing w:after="0" w:line="240" w:lineRule="auto"/>
      </w:pPr>
      <w:r>
        <w:separator/>
      </w:r>
    </w:p>
  </w:endnote>
  <w:endnote w:type="continuationSeparator" w:id="0">
    <w:p w14:paraId="6BE7DBF7" w14:textId="77777777" w:rsidR="000D2526" w:rsidRDefault="000D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ontserrat">
    <w:altName w:val="Arial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82C84" w14:textId="77777777" w:rsidR="00CD15BC" w:rsidRDefault="00CD15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2515" w14:textId="77777777" w:rsidR="00CD15BC" w:rsidRDefault="00CD15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BD73" w14:textId="77777777" w:rsidR="00CD15BC" w:rsidRDefault="00CD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BAAF" w14:textId="77777777" w:rsidR="000D2526" w:rsidRDefault="000D2526">
      <w:pPr>
        <w:spacing w:after="0" w:line="240" w:lineRule="auto"/>
      </w:pPr>
      <w:r>
        <w:separator/>
      </w:r>
    </w:p>
  </w:footnote>
  <w:footnote w:type="continuationSeparator" w:id="0">
    <w:p w14:paraId="56BACE9F" w14:textId="77777777" w:rsidR="000D2526" w:rsidRDefault="000D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0" w14:textId="77777777" w:rsidR="0013269F" w:rsidRDefault="008B11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31" w14:textId="77777777" w:rsidR="0013269F" w:rsidRDefault="001326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8" w14:textId="77777777" w:rsidR="0013269F" w:rsidRDefault="0013269F">
    <w:pPr>
      <w:pStyle w:val="Heading1"/>
      <w:spacing w:before="120"/>
      <w:ind w:right="360"/>
      <w:rPr>
        <w:b w:val="0"/>
        <w:sz w:val="24"/>
        <w:szCs w:val="24"/>
      </w:rPr>
    </w:pPr>
  </w:p>
  <w:p w14:paraId="00000029" w14:textId="70A9BFA6" w:rsidR="0013269F" w:rsidRDefault="008B11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>
      <w:rPr>
        <w:rFonts w:ascii="Montserrat" w:eastAsia="Montserrat" w:hAnsi="Montserrat" w:cs="Montserrat"/>
        <w:b/>
        <w:color w:val="FFFFFF"/>
      </w:rPr>
      <w:fldChar w:fldCharType="begin"/>
    </w:r>
    <w:r>
      <w:rPr>
        <w:rFonts w:ascii="Montserrat" w:eastAsia="Montserrat" w:hAnsi="Montserrat" w:cs="Montserrat"/>
        <w:b/>
        <w:color w:val="FFFFFF"/>
      </w:rPr>
      <w:instrText>PAGE</w:instrText>
    </w:r>
    <w:r>
      <w:rPr>
        <w:rFonts w:ascii="Montserrat" w:eastAsia="Montserrat" w:hAnsi="Montserrat" w:cs="Montserrat"/>
        <w:b/>
        <w:color w:val="FFFFFF"/>
      </w:rPr>
      <w:fldChar w:fldCharType="separate"/>
    </w:r>
    <w:r w:rsidR="00164663">
      <w:rPr>
        <w:rFonts w:ascii="Montserrat" w:eastAsia="Montserrat" w:hAnsi="Montserrat" w:cs="Montserrat"/>
        <w:b/>
        <w:noProof/>
        <w:color w:val="FFFFFF"/>
      </w:rPr>
      <w:t>1</w:t>
    </w:r>
    <w:r>
      <w:rPr>
        <w:rFonts w:ascii="Montserrat" w:eastAsia="Montserrat" w:hAnsi="Montserrat" w:cs="Montserrat"/>
        <w:b/>
        <w:color w:val="FFFFFF"/>
      </w:rPr>
      <w:fldChar w:fldCharType="end"/>
    </w:r>
  </w:p>
  <w:tbl>
    <w:tblPr>
      <w:tblStyle w:val="a3"/>
      <w:tblW w:w="9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363"/>
    </w:tblGrid>
    <w:tr w:rsidR="0013269F" w14:paraId="4A9F4D6F" w14:textId="77777777" w:rsidTr="00032CD0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  <w:vAlign w:val="bottom"/>
        </w:tcPr>
        <w:p w14:paraId="0000002A" w14:textId="77777777" w:rsidR="0013269F" w:rsidRPr="00CD15BC" w:rsidRDefault="008B11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  <w:r w:rsidRPr="00CD15BC"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  <w:t xml:space="preserve"> </w:t>
          </w:r>
          <w:r w:rsidRPr="00CD15BC">
            <w:rPr>
              <w:rFonts w:asciiTheme="minorHAnsi" w:hAnsiTheme="minorHAnsi" w:cstheme="minorHAnsi"/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0C2738CE" wp14:editId="57BADCC0">
                <wp:simplePos x="0" y="0"/>
                <wp:positionH relativeFrom="column">
                  <wp:posOffset>-73023</wp:posOffset>
                </wp:positionH>
                <wp:positionV relativeFrom="paragraph">
                  <wp:posOffset>2438</wp:posOffset>
                </wp:positionV>
                <wp:extent cx="1790065" cy="714375"/>
                <wp:effectExtent l="0" t="0" r="0" b="0"/>
                <wp:wrapSquare wrapText="bothSides" distT="0" distB="0" distL="114300" distR="114300"/>
                <wp:docPr id="2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>
                        <a:blip r:embed="rId1"/>
                        <a:srcRect l="11765" b="2186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714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000002B" w14:textId="77777777" w:rsidR="0013269F" w:rsidRPr="00CD15BC" w:rsidRDefault="001326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</w:p>
        <w:p w14:paraId="0000002D" w14:textId="495A2D5A" w:rsidR="0013269F" w:rsidRPr="00CD15BC" w:rsidRDefault="00266E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color w:val="000000"/>
              <w:sz w:val="24"/>
              <w:szCs w:val="24"/>
            </w:rPr>
          </w:pPr>
          <w:r w:rsidRPr="00CD15BC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مجموعة أدوات المشاركة المجتمعية والمساءلة </w:t>
          </w:r>
          <w:proofErr w:type="spellStart"/>
          <w:r w:rsidR="00D40695" w:rsidRPr="00CD15BC">
            <w:rPr>
              <w:rFonts w:asciiTheme="minorHAnsi" w:eastAsia="Montserrat" w:hAnsiTheme="minorHAnsi" w:cstheme="minorHAnsi"/>
              <w:color w:val="000000"/>
              <w:sz w:val="21"/>
              <w:szCs w:val="21"/>
            </w:rPr>
            <w:t>ol</w:t>
          </w:r>
          <w:proofErr w:type="spellEnd"/>
          <w:r w:rsidR="00D40695" w:rsidRPr="00CD15BC">
            <w:rPr>
              <w:rFonts w:asciiTheme="minorHAnsi" w:eastAsia="Montserrat" w:hAnsiTheme="minorHAnsi" w:cstheme="minorHAnsi"/>
              <w:color w:val="000000"/>
              <w:sz w:val="21"/>
              <w:szCs w:val="21"/>
            </w:rPr>
            <w:t xml:space="preserve"> 11: </w:t>
          </w:r>
          <w:r w:rsidR="008B1158" w:rsidRPr="00CD15BC">
            <w:rPr>
              <w:rFonts w:asciiTheme="minorHAnsi" w:eastAsia="Montserrat" w:hAnsiTheme="minorHAnsi" w:cstheme="minorHAnsi"/>
              <w:color w:val="000000"/>
              <w:sz w:val="21"/>
              <w:szCs w:val="21"/>
            </w:rPr>
            <w:t>CEA checklist for plans</w:t>
          </w:r>
        </w:p>
      </w:tc>
      <w:tc>
        <w:tcPr>
          <w:tcW w:w="363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0000002E" w14:textId="77777777" w:rsidR="0013269F" w:rsidRPr="00CD15BC" w:rsidRDefault="0013269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Theme="minorHAnsi" w:eastAsia="Montserrat" w:hAnsiTheme="minorHAnsi" w:cstheme="minorHAnsi"/>
              <w:b/>
              <w:color w:val="FFFFFF"/>
              <w:sz w:val="24"/>
              <w:szCs w:val="24"/>
            </w:rPr>
          </w:pPr>
        </w:p>
      </w:tc>
    </w:tr>
  </w:tbl>
  <w:p w14:paraId="0000002F" w14:textId="77777777" w:rsidR="0013269F" w:rsidRDefault="0013269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605A" w14:textId="77777777" w:rsidR="00CD15BC" w:rsidRDefault="00CD1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0067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69F"/>
    <w:rsid w:val="00032CD0"/>
    <w:rsid w:val="000D2526"/>
    <w:rsid w:val="0013269F"/>
    <w:rsid w:val="00164663"/>
    <w:rsid w:val="00266E7B"/>
    <w:rsid w:val="004514F2"/>
    <w:rsid w:val="00587F2B"/>
    <w:rsid w:val="008B1158"/>
    <w:rsid w:val="00A37D7F"/>
    <w:rsid w:val="00A640BD"/>
    <w:rsid w:val="00A746DD"/>
    <w:rsid w:val="00B47861"/>
    <w:rsid w:val="00CD15BC"/>
    <w:rsid w:val="00D33764"/>
    <w:rsid w:val="00D40695"/>
    <w:rsid w:val="00D570F5"/>
    <w:rsid w:val="00E57F8B"/>
    <w:rsid w:val="00E9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D7013"/>
  <w15:docId w15:val="{0DDFF866-C08B-400A-9A11-682D075D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B21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3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rFonts w:ascii="Roboto" w:hAnsi="Roboto"/>
      <w:sz w:val="22"/>
      <w:szCs w:val="22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9xiuKbLCxCGqk4Kd132miK6wUA==">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HP</cp:lastModifiedBy>
  <cp:revision>8</cp:revision>
  <dcterms:created xsi:type="dcterms:W3CDTF">2021-09-24T18:27:00Z</dcterms:created>
  <dcterms:modified xsi:type="dcterms:W3CDTF">2023-11-06T12:27:00Z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