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95C7" w14:textId="77777777" w:rsidR="00E20A25" w:rsidRPr="00D80D52" w:rsidRDefault="00E20A25" w:rsidP="00966F03">
      <w:pPr>
        <w:pStyle w:val="H1"/>
        <w:jc w:val="center"/>
        <w:rPr>
          <w:rFonts w:asciiTheme="minorHAnsi" w:hAnsiTheme="minorHAnsi" w:cstheme="minorHAnsi"/>
          <w:lang w:val="en-GB"/>
        </w:rPr>
      </w:pPr>
    </w:p>
    <w:p w14:paraId="7B673D1F" w14:textId="05E68DD5" w:rsidR="00166C09" w:rsidRPr="00D80D52" w:rsidRDefault="00992418" w:rsidP="00166C09">
      <w:pPr>
        <w:pStyle w:val="BodyCopy"/>
        <w:bidi/>
        <w:rPr>
          <w:rFonts w:asciiTheme="minorHAnsi" w:hAnsiTheme="minorHAnsi" w:cstheme="minorHAnsi"/>
          <w:color w:val="00B0F0"/>
          <w:sz w:val="24"/>
          <w:szCs w:val="24"/>
          <w:rtl/>
          <w:lang w:val="en-GB"/>
        </w:rPr>
      </w:pPr>
      <w:r w:rsidRPr="00D80D52">
        <w:rPr>
          <w:rFonts w:asciiTheme="minorHAnsi" w:hAnsiTheme="minorHAnsi" w:cstheme="minorHAnsi"/>
          <w:color w:val="00B0F0"/>
          <w:sz w:val="24"/>
          <w:szCs w:val="24"/>
          <w:rtl/>
          <w:lang w:val="en-GB"/>
        </w:rPr>
        <w:t>ما الغرض من هذه الأداة؟</w:t>
      </w:r>
    </w:p>
    <w:p w14:paraId="78DBE08B" w14:textId="3747E355" w:rsidR="00992418" w:rsidRPr="00D80D52" w:rsidRDefault="00992418" w:rsidP="00992418">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 xml:space="preserve">تساعد هذه الأداة في تحديد نطاق آلية التغذية الراجعة التي ترغب في إنشاءها. عند النظر في النطاق الذي تحتاجه لآلية التغذية الراجعة، عليك التفكير في الغرض من آلية التغذية الراجعة، والجهة التي يلزمها الاطلاع على التغذية الراجعة التي تجمعها والموارد المتوفرة. </w:t>
      </w:r>
    </w:p>
    <w:p w14:paraId="5BE8F6CA" w14:textId="77777777" w:rsidR="00992418" w:rsidRPr="00D80D52" w:rsidRDefault="00992418" w:rsidP="00992418">
      <w:pPr>
        <w:pStyle w:val="BodyCopy"/>
        <w:bidi/>
        <w:rPr>
          <w:rFonts w:asciiTheme="minorHAnsi" w:hAnsiTheme="minorHAnsi" w:cstheme="minorHAnsi"/>
          <w:sz w:val="24"/>
          <w:szCs w:val="24"/>
          <w:rtl/>
          <w:lang w:val="en-GB"/>
        </w:rPr>
      </w:pPr>
    </w:p>
    <w:p w14:paraId="13508518" w14:textId="191F2F6E" w:rsidR="00992418" w:rsidRPr="00D80D52" w:rsidRDefault="00992418" w:rsidP="00992418">
      <w:pPr>
        <w:pStyle w:val="BodyCopy"/>
        <w:bidi/>
        <w:rPr>
          <w:rFonts w:asciiTheme="minorHAnsi" w:hAnsiTheme="minorHAnsi" w:cstheme="minorHAnsi"/>
          <w:color w:val="00B0F0"/>
          <w:sz w:val="24"/>
          <w:szCs w:val="24"/>
          <w:lang w:val="en-GB"/>
        </w:rPr>
      </w:pPr>
      <w:r w:rsidRPr="00D80D52">
        <w:rPr>
          <w:rFonts w:asciiTheme="minorHAnsi" w:hAnsiTheme="minorHAnsi" w:cstheme="minorHAnsi"/>
          <w:color w:val="00B0F0"/>
          <w:sz w:val="24"/>
          <w:szCs w:val="24"/>
          <w:rtl/>
          <w:lang w:val="en-GB"/>
        </w:rPr>
        <w:t>ما معنى "نطاق"؟</w:t>
      </w:r>
    </w:p>
    <w:p w14:paraId="5C6B43EF" w14:textId="0CA6C8F2" w:rsidR="00992418" w:rsidRPr="00D80D52" w:rsidRDefault="00992418" w:rsidP="00854AC7">
      <w:pPr>
        <w:pStyle w:val="BodyCopy"/>
        <w:bidi/>
        <w:rPr>
          <w:rFonts w:asciiTheme="minorHAnsi" w:hAnsiTheme="minorHAnsi" w:cstheme="minorHAnsi"/>
          <w:sz w:val="24"/>
          <w:szCs w:val="24"/>
          <w:rtl/>
          <w:lang w:val="en-GB" w:bidi="ar-JO"/>
        </w:rPr>
      </w:pPr>
      <w:r w:rsidRPr="00D80D52">
        <w:rPr>
          <w:rFonts w:asciiTheme="minorHAnsi" w:hAnsiTheme="minorHAnsi" w:cstheme="minorHAnsi"/>
          <w:sz w:val="24"/>
          <w:szCs w:val="24"/>
          <w:rtl/>
          <w:lang w:val="en-GB" w:bidi="ar-JO"/>
        </w:rPr>
        <w:t xml:space="preserve">يشير نطاق آلية التغذية الراجعة إلى المستويات الجغرافية والتنظيمية التي تعمل عليها آلية التغذية الراجعة. قد تقتصر آلية التغذية الراجعة على فريق محلي واحد أو أن تكون واسعة مثل آلية </w:t>
      </w:r>
      <w:r w:rsidR="00854AC7" w:rsidRPr="00D80D52">
        <w:rPr>
          <w:rFonts w:asciiTheme="minorHAnsi" w:hAnsiTheme="minorHAnsi" w:cstheme="minorHAnsi"/>
          <w:sz w:val="24"/>
          <w:szCs w:val="24"/>
          <w:rtl/>
          <w:lang w:val="en-GB" w:bidi="ar-JO"/>
        </w:rPr>
        <w:t>التغذية الراجعة</w:t>
      </w:r>
      <w:r w:rsidRPr="00D80D52">
        <w:rPr>
          <w:rFonts w:asciiTheme="minorHAnsi" w:hAnsiTheme="minorHAnsi" w:cstheme="minorHAnsi"/>
          <w:sz w:val="24"/>
          <w:szCs w:val="24"/>
          <w:rtl/>
          <w:lang w:val="en-GB" w:bidi="ar-JO"/>
        </w:rPr>
        <w:t xml:space="preserve"> المشتركة بين الوكالات التي تعمل عبر عدة مناطق أو بلدان. </w:t>
      </w:r>
      <w:r w:rsidR="00854AC7" w:rsidRPr="00D80D52">
        <w:rPr>
          <w:rFonts w:asciiTheme="minorHAnsi" w:hAnsiTheme="minorHAnsi" w:cstheme="minorHAnsi"/>
          <w:sz w:val="24"/>
          <w:szCs w:val="24"/>
          <w:rtl/>
          <w:lang w:val="en-GB" w:bidi="ar-JO"/>
        </w:rPr>
        <w:t>لا يلغي</w:t>
      </w:r>
      <w:r w:rsidRPr="00D80D52">
        <w:rPr>
          <w:rFonts w:asciiTheme="minorHAnsi" w:hAnsiTheme="minorHAnsi" w:cstheme="minorHAnsi"/>
          <w:sz w:val="24"/>
          <w:szCs w:val="24"/>
          <w:rtl/>
          <w:lang w:val="en-GB" w:bidi="ar-JO"/>
        </w:rPr>
        <w:t xml:space="preserve"> النطاق الأكبر للآلية حلقات </w:t>
      </w:r>
      <w:r w:rsidR="00854AC7" w:rsidRPr="00D80D52">
        <w:rPr>
          <w:rFonts w:asciiTheme="minorHAnsi" w:hAnsiTheme="minorHAnsi" w:cstheme="minorHAnsi"/>
          <w:sz w:val="24"/>
          <w:szCs w:val="24"/>
          <w:rtl/>
          <w:lang w:val="en-GB" w:bidi="ar-JO"/>
        </w:rPr>
        <w:t>التغذية الراجعة</w:t>
      </w:r>
      <w:r w:rsidRPr="00D80D52">
        <w:rPr>
          <w:rFonts w:asciiTheme="minorHAnsi" w:hAnsiTheme="minorHAnsi" w:cstheme="minorHAnsi"/>
          <w:sz w:val="24"/>
          <w:szCs w:val="24"/>
          <w:rtl/>
          <w:lang w:val="en-GB" w:bidi="ar-JO"/>
        </w:rPr>
        <w:t xml:space="preserve"> الأصغر على المستويات الأقرب إلى المجتمعات. </w:t>
      </w:r>
      <w:r w:rsidR="00854AC7" w:rsidRPr="00D80D52">
        <w:rPr>
          <w:rFonts w:asciiTheme="minorHAnsi" w:hAnsiTheme="minorHAnsi" w:cstheme="minorHAnsi"/>
          <w:sz w:val="24"/>
          <w:szCs w:val="24"/>
          <w:rtl/>
          <w:lang w:val="en-GB" w:bidi="ar-JO"/>
        </w:rPr>
        <w:t>نطاقات</w:t>
      </w:r>
      <w:r w:rsidRPr="00D80D52">
        <w:rPr>
          <w:rFonts w:asciiTheme="minorHAnsi" w:hAnsiTheme="minorHAnsi" w:cstheme="minorHAnsi"/>
          <w:sz w:val="24"/>
          <w:szCs w:val="24"/>
          <w:rtl/>
          <w:lang w:val="en-GB" w:bidi="ar-JO"/>
        </w:rPr>
        <w:t xml:space="preserve"> التغذية الراجعة المختلفة:</w:t>
      </w:r>
    </w:p>
    <w:p w14:paraId="75779A84" w14:textId="6E861512" w:rsidR="00854AC7" w:rsidRPr="00D80D52" w:rsidRDefault="00854AC7" w:rsidP="009E45DA">
      <w:pPr>
        <w:pStyle w:val="BodyCopy"/>
        <w:numPr>
          <w:ilvl w:val="0"/>
          <w:numId w:val="9"/>
        </w:numPr>
        <w:bidi/>
        <w:rPr>
          <w:rFonts w:asciiTheme="minorHAnsi" w:hAnsiTheme="minorHAnsi" w:cstheme="minorHAnsi"/>
          <w:sz w:val="24"/>
          <w:szCs w:val="24"/>
          <w:lang w:val="en-GB" w:bidi="ar-JO"/>
        </w:rPr>
      </w:pPr>
      <w:r w:rsidRPr="00D80D52">
        <w:rPr>
          <w:rFonts w:asciiTheme="minorHAnsi" w:hAnsiTheme="minorHAnsi" w:cstheme="minorHAnsi"/>
          <w:color w:val="00B0F0"/>
          <w:sz w:val="24"/>
          <w:szCs w:val="24"/>
          <w:rtl/>
          <w:lang w:val="en-GB" w:bidi="ar-JO"/>
        </w:rPr>
        <w:t xml:space="preserve">المستوى المحلي- </w:t>
      </w:r>
      <w:r w:rsidR="009E45DA" w:rsidRPr="00D80D52">
        <w:rPr>
          <w:rFonts w:asciiTheme="minorHAnsi" w:hAnsiTheme="minorHAnsi" w:cstheme="minorHAnsi"/>
          <w:sz w:val="24"/>
          <w:szCs w:val="24"/>
          <w:rtl/>
          <w:lang w:val="en-GB" w:bidi="ar-JO"/>
        </w:rPr>
        <w:t>توجه</w:t>
      </w:r>
      <w:r w:rsidRPr="00D80D52">
        <w:rPr>
          <w:rFonts w:asciiTheme="minorHAnsi" w:hAnsiTheme="minorHAnsi" w:cstheme="minorHAnsi"/>
          <w:sz w:val="24"/>
          <w:szCs w:val="24"/>
          <w:rtl/>
          <w:lang w:val="en-GB" w:bidi="ar-JO"/>
        </w:rPr>
        <w:t xml:space="preserve"> القرارات على المستوى المحلي التي يتخذها الفريق المحلي بالتعاون مع الجهات الفعالة المحلية. </w:t>
      </w:r>
    </w:p>
    <w:p w14:paraId="309EEFA1" w14:textId="70B13B28" w:rsidR="00854AC7" w:rsidRPr="00D80D52" w:rsidRDefault="009E45DA" w:rsidP="00854AC7">
      <w:pPr>
        <w:pStyle w:val="BodyCopy"/>
        <w:numPr>
          <w:ilvl w:val="0"/>
          <w:numId w:val="9"/>
        </w:numPr>
        <w:bidi/>
        <w:rPr>
          <w:rFonts w:asciiTheme="minorHAnsi" w:hAnsiTheme="minorHAnsi" w:cstheme="minorHAnsi"/>
          <w:sz w:val="24"/>
          <w:szCs w:val="24"/>
          <w:lang w:val="en-GB" w:bidi="ar-JO"/>
        </w:rPr>
      </w:pPr>
      <w:r w:rsidRPr="00D80D52">
        <w:rPr>
          <w:rFonts w:asciiTheme="minorHAnsi" w:hAnsiTheme="minorHAnsi" w:cstheme="minorHAnsi"/>
          <w:color w:val="00B0F0"/>
          <w:sz w:val="24"/>
          <w:szCs w:val="24"/>
          <w:rtl/>
          <w:lang w:val="en-GB" w:bidi="ar-JO"/>
        </w:rPr>
        <w:t>مستوى المنطقة/الفرع</w:t>
      </w:r>
      <w:r w:rsidRPr="00D80D52">
        <w:rPr>
          <w:rFonts w:asciiTheme="minorHAnsi" w:hAnsiTheme="minorHAnsi" w:cstheme="minorHAnsi"/>
          <w:sz w:val="24"/>
          <w:szCs w:val="24"/>
          <w:rtl/>
          <w:lang w:val="en-GB" w:bidi="ar-JO"/>
        </w:rPr>
        <w:t>- ت</w:t>
      </w:r>
      <w:r w:rsidR="00854AC7" w:rsidRPr="00D80D52">
        <w:rPr>
          <w:rFonts w:asciiTheme="minorHAnsi" w:hAnsiTheme="minorHAnsi" w:cstheme="minorHAnsi"/>
          <w:sz w:val="24"/>
          <w:szCs w:val="24"/>
          <w:rtl/>
          <w:lang w:val="en-GB" w:bidi="ar-JO"/>
        </w:rPr>
        <w:t xml:space="preserve">وجه القرارات على مستوى المنطقة/الفرع التي تُتخذ بالتعاون مع الشركاء على مستوى الفرع. </w:t>
      </w:r>
    </w:p>
    <w:p w14:paraId="6F891314" w14:textId="46178D93" w:rsidR="00854AC7" w:rsidRPr="00D80D52" w:rsidRDefault="009E45DA" w:rsidP="00854AC7">
      <w:pPr>
        <w:pStyle w:val="BodyCopy"/>
        <w:numPr>
          <w:ilvl w:val="0"/>
          <w:numId w:val="9"/>
        </w:numPr>
        <w:bidi/>
        <w:rPr>
          <w:rFonts w:asciiTheme="minorHAnsi" w:hAnsiTheme="minorHAnsi" w:cstheme="minorHAnsi"/>
          <w:sz w:val="24"/>
          <w:szCs w:val="24"/>
          <w:lang w:val="en-GB" w:bidi="ar-JO"/>
        </w:rPr>
      </w:pPr>
      <w:r w:rsidRPr="00D80D52">
        <w:rPr>
          <w:rFonts w:asciiTheme="minorHAnsi" w:hAnsiTheme="minorHAnsi" w:cstheme="minorHAnsi"/>
          <w:color w:val="00B0F0"/>
          <w:sz w:val="24"/>
          <w:szCs w:val="24"/>
          <w:rtl/>
          <w:lang w:val="en-GB" w:bidi="ar-JO"/>
        </w:rPr>
        <w:t>المستوى الوطني</w:t>
      </w:r>
      <w:r w:rsidRPr="00D80D52">
        <w:rPr>
          <w:rFonts w:asciiTheme="minorHAnsi" w:hAnsiTheme="minorHAnsi" w:cstheme="minorHAnsi"/>
          <w:sz w:val="24"/>
          <w:szCs w:val="24"/>
          <w:rtl/>
          <w:lang w:val="en-GB" w:bidi="ar-JO"/>
        </w:rPr>
        <w:t>- ت</w:t>
      </w:r>
      <w:r w:rsidR="00854AC7" w:rsidRPr="00D80D52">
        <w:rPr>
          <w:rFonts w:asciiTheme="minorHAnsi" w:hAnsiTheme="minorHAnsi" w:cstheme="minorHAnsi"/>
          <w:sz w:val="24"/>
          <w:szCs w:val="24"/>
          <w:rtl/>
          <w:lang w:val="en-GB" w:bidi="ar-JO"/>
        </w:rPr>
        <w:t xml:space="preserve">وجه القرارات على المستوى الوطني المتصلة بكامل المنظمة أو العملية. قد تتخذ الإجراءات بالتنسيق مع الشركاء على مستوى التنسيق الوطني. </w:t>
      </w:r>
    </w:p>
    <w:p w14:paraId="1C2E5495" w14:textId="5EDEED9B" w:rsidR="00854AC7" w:rsidRPr="00D80D52" w:rsidRDefault="00854AC7" w:rsidP="00854AC7">
      <w:pPr>
        <w:pStyle w:val="BodyCopy"/>
        <w:numPr>
          <w:ilvl w:val="0"/>
          <w:numId w:val="9"/>
        </w:numPr>
        <w:bidi/>
        <w:rPr>
          <w:rFonts w:asciiTheme="minorHAnsi" w:hAnsiTheme="minorHAnsi" w:cstheme="minorHAnsi"/>
          <w:sz w:val="24"/>
          <w:szCs w:val="24"/>
          <w:lang w:val="en-GB" w:bidi="ar-JO"/>
        </w:rPr>
      </w:pPr>
      <w:r w:rsidRPr="00D80D52">
        <w:rPr>
          <w:rFonts w:asciiTheme="minorHAnsi" w:hAnsiTheme="minorHAnsi" w:cstheme="minorHAnsi"/>
          <w:color w:val="00B0F0"/>
          <w:sz w:val="24"/>
          <w:szCs w:val="24"/>
          <w:rtl/>
          <w:lang w:val="en-GB" w:bidi="ar-JO"/>
        </w:rPr>
        <w:t>المستوى المشترك بين الوكالات أو المستوى الإقليمي</w:t>
      </w:r>
      <w:r w:rsidR="009E45DA" w:rsidRPr="00D80D52">
        <w:rPr>
          <w:rFonts w:asciiTheme="minorHAnsi" w:hAnsiTheme="minorHAnsi" w:cstheme="minorHAnsi"/>
          <w:sz w:val="24"/>
          <w:szCs w:val="24"/>
          <w:rtl/>
          <w:lang w:val="en-GB" w:bidi="ar-JO"/>
        </w:rPr>
        <w:t>- ت</w:t>
      </w:r>
      <w:r w:rsidRPr="00D80D52">
        <w:rPr>
          <w:rFonts w:asciiTheme="minorHAnsi" w:hAnsiTheme="minorHAnsi" w:cstheme="minorHAnsi"/>
          <w:sz w:val="24"/>
          <w:szCs w:val="24"/>
          <w:rtl/>
          <w:lang w:val="en-GB" w:bidi="ar-JO"/>
        </w:rPr>
        <w:t xml:space="preserve">وجه القرارات المشتركة بين الوكالات و/أو القرارات الإقليمية. قد تتخذ الإجراءات بالتنسيق مع الشركاء على مستوى التنسيق الوطني والإقليمي. </w:t>
      </w:r>
    </w:p>
    <w:p w14:paraId="6EF96EF2" w14:textId="77777777" w:rsidR="00854AC7" w:rsidRPr="00D80D52" w:rsidRDefault="00854AC7" w:rsidP="00854AC7">
      <w:pPr>
        <w:pStyle w:val="BodyCopy"/>
        <w:bidi/>
        <w:ind w:left="720"/>
        <w:rPr>
          <w:rFonts w:asciiTheme="minorHAnsi" w:hAnsiTheme="minorHAnsi" w:cstheme="minorHAnsi"/>
          <w:sz w:val="24"/>
          <w:szCs w:val="24"/>
          <w:rtl/>
          <w:lang w:val="en-GB" w:bidi="ar-JO"/>
        </w:rPr>
      </w:pPr>
    </w:p>
    <w:p w14:paraId="722220B7" w14:textId="065279EC" w:rsidR="00854AC7" w:rsidRPr="00D80D52" w:rsidRDefault="00854AC7" w:rsidP="00854AC7">
      <w:pPr>
        <w:pStyle w:val="BodyCopy"/>
        <w:bidi/>
        <w:ind w:left="720"/>
        <w:rPr>
          <w:rFonts w:asciiTheme="minorHAnsi" w:hAnsiTheme="minorHAnsi" w:cstheme="minorHAnsi"/>
          <w:color w:val="00B0F0"/>
          <w:sz w:val="24"/>
          <w:szCs w:val="24"/>
          <w:rtl/>
          <w:lang w:val="en-GB" w:bidi="ar-JO"/>
        </w:rPr>
      </w:pPr>
      <w:r w:rsidRPr="00D80D52">
        <w:rPr>
          <w:rFonts w:asciiTheme="minorHAnsi" w:hAnsiTheme="minorHAnsi" w:cstheme="minorHAnsi"/>
          <w:color w:val="00B0F0"/>
          <w:sz w:val="24"/>
          <w:szCs w:val="24"/>
          <w:rtl/>
          <w:lang w:val="en-GB" w:bidi="ar-JO"/>
        </w:rPr>
        <w:t xml:space="preserve">لماذا ينبغي تحديد النطاق مسبقا؟ </w:t>
      </w:r>
    </w:p>
    <w:p w14:paraId="730CC8F9" w14:textId="77777777" w:rsidR="00854AC7" w:rsidRPr="00D80D52" w:rsidRDefault="00854AC7" w:rsidP="00854AC7">
      <w:pPr>
        <w:pStyle w:val="BodyCopy"/>
        <w:bidi/>
        <w:ind w:left="720"/>
        <w:rPr>
          <w:rFonts w:asciiTheme="minorHAnsi" w:hAnsiTheme="minorHAnsi" w:cstheme="minorHAnsi"/>
          <w:sz w:val="24"/>
          <w:szCs w:val="24"/>
          <w:rtl/>
          <w:lang w:val="en-GB" w:bidi="ar-JO"/>
        </w:rPr>
      </w:pPr>
    </w:p>
    <w:p w14:paraId="23DC7728" w14:textId="19DC2989" w:rsidR="00992418" w:rsidRPr="00D80D52" w:rsidRDefault="00F35BA7" w:rsidP="00F35BA7">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لبدء عملية تخطيط آلية التغذية الراجعة</w:t>
      </w:r>
      <w:r w:rsidR="00854AC7" w:rsidRPr="00D80D52">
        <w:rPr>
          <w:rFonts w:asciiTheme="minorHAnsi" w:hAnsiTheme="minorHAnsi" w:cstheme="minorHAnsi"/>
          <w:sz w:val="24"/>
          <w:szCs w:val="24"/>
          <w:rtl/>
          <w:lang w:val="en-GB"/>
        </w:rPr>
        <w:t xml:space="preserve">، يجب أن تكون واضحًا بشأن الأشخاص الآخرين الذين سيشاركون في العملية </w:t>
      </w:r>
      <w:r w:rsidRPr="00D80D52">
        <w:rPr>
          <w:rFonts w:asciiTheme="minorHAnsi" w:hAnsiTheme="minorHAnsi" w:cstheme="minorHAnsi"/>
          <w:sz w:val="24"/>
          <w:szCs w:val="24"/>
          <w:rtl/>
          <w:lang w:val="en-GB"/>
        </w:rPr>
        <w:t>لضمان</w:t>
      </w:r>
      <w:r w:rsidR="00854AC7" w:rsidRPr="00D80D52">
        <w:rPr>
          <w:rFonts w:asciiTheme="minorHAnsi" w:hAnsiTheme="minorHAnsi" w:cstheme="minorHAnsi"/>
          <w:sz w:val="24"/>
          <w:szCs w:val="24"/>
          <w:rtl/>
          <w:lang w:val="en-GB"/>
        </w:rPr>
        <w:t xml:space="preserve"> استخدام البيانات ومعالجتها. سيؤثر ذلك على الموارد التي تحتاجها وسيوجه الخطوات التالية ل</w:t>
      </w:r>
      <w:r w:rsidRPr="00D80D52">
        <w:rPr>
          <w:rFonts w:asciiTheme="minorHAnsi" w:hAnsiTheme="minorHAnsi" w:cstheme="minorHAnsi"/>
          <w:sz w:val="24"/>
          <w:szCs w:val="24"/>
          <w:rtl/>
          <w:lang w:val="en-GB"/>
        </w:rPr>
        <w:t xml:space="preserve">تحديد </w:t>
      </w:r>
      <w:r w:rsidR="00854AC7" w:rsidRPr="00D80D52">
        <w:rPr>
          <w:rFonts w:asciiTheme="minorHAnsi" w:hAnsiTheme="minorHAnsi" w:cstheme="minorHAnsi"/>
          <w:sz w:val="24"/>
          <w:szCs w:val="24"/>
          <w:rtl/>
          <w:lang w:val="en-GB"/>
        </w:rPr>
        <w:t>تدفق الت</w:t>
      </w:r>
      <w:r w:rsidRPr="00D80D52">
        <w:rPr>
          <w:rFonts w:asciiTheme="minorHAnsi" w:hAnsiTheme="minorHAnsi" w:cstheme="minorHAnsi"/>
          <w:sz w:val="24"/>
          <w:szCs w:val="24"/>
          <w:rtl/>
          <w:lang w:val="en-GB"/>
        </w:rPr>
        <w:t>غذية الراجعة</w:t>
      </w:r>
      <w:r w:rsidR="00854AC7" w:rsidRPr="00D80D52">
        <w:rPr>
          <w:rFonts w:asciiTheme="minorHAnsi" w:hAnsiTheme="minorHAnsi" w:cstheme="minorHAnsi"/>
          <w:sz w:val="24"/>
          <w:szCs w:val="24"/>
          <w:rtl/>
          <w:lang w:val="en-GB"/>
        </w:rPr>
        <w:t xml:space="preserve"> داخل م</w:t>
      </w:r>
      <w:r w:rsidRPr="00D80D52">
        <w:rPr>
          <w:rFonts w:asciiTheme="minorHAnsi" w:hAnsiTheme="minorHAnsi" w:cstheme="minorHAnsi"/>
          <w:sz w:val="24"/>
          <w:szCs w:val="24"/>
          <w:rtl/>
          <w:lang w:val="en-GB"/>
        </w:rPr>
        <w:t xml:space="preserve">نظمتك </w:t>
      </w:r>
      <w:r w:rsidR="00854AC7" w:rsidRPr="00D80D52">
        <w:rPr>
          <w:rFonts w:asciiTheme="minorHAnsi" w:hAnsiTheme="minorHAnsi" w:cstheme="minorHAnsi"/>
          <w:sz w:val="24"/>
          <w:szCs w:val="24"/>
          <w:rtl/>
          <w:lang w:val="en-GB"/>
        </w:rPr>
        <w:t>أو هياكل التنسيق مع المنظمات الشريكة الأخرى.</w:t>
      </w:r>
    </w:p>
    <w:p w14:paraId="293AF5F1" w14:textId="77777777" w:rsidR="0052019A" w:rsidRPr="00D80D52" w:rsidRDefault="0052019A" w:rsidP="0052019A">
      <w:pPr>
        <w:pStyle w:val="BodyCopy"/>
        <w:bidi/>
        <w:rPr>
          <w:rFonts w:asciiTheme="minorHAnsi" w:hAnsiTheme="minorHAnsi" w:cstheme="minorHAnsi"/>
          <w:sz w:val="24"/>
          <w:szCs w:val="24"/>
          <w:rtl/>
          <w:lang w:val="en-GB"/>
        </w:rPr>
      </w:pPr>
    </w:p>
    <w:p w14:paraId="55F9D4F3" w14:textId="3650E5F3" w:rsidR="0052019A" w:rsidRPr="00D80D52" w:rsidRDefault="0052019A" w:rsidP="0052019A">
      <w:pPr>
        <w:pStyle w:val="BodyCopy"/>
        <w:bidi/>
        <w:rPr>
          <w:rFonts w:asciiTheme="minorHAnsi" w:hAnsiTheme="minorHAnsi" w:cstheme="minorHAnsi"/>
          <w:color w:val="00B0F0"/>
          <w:sz w:val="24"/>
          <w:szCs w:val="24"/>
          <w:rtl/>
          <w:lang w:val="en-GB"/>
        </w:rPr>
      </w:pPr>
      <w:r w:rsidRPr="00D80D52">
        <w:rPr>
          <w:rFonts w:asciiTheme="minorHAnsi" w:hAnsiTheme="minorHAnsi" w:cstheme="minorHAnsi"/>
          <w:color w:val="00B0F0"/>
          <w:sz w:val="24"/>
          <w:szCs w:val="24"/>
          <w:rtl/>
          <w:lang w:val="en-GB"/>
        </w:rPr>
        <w:t>كيفية استخدام هذه الأداة؟</w:t>
      </w:r>
    </w:p>
    <w:p w14:paraId="4A836620" w14:textId="20AF012F" w:rsidR="0052019A" w:rsidRPr="00D80D52" w:rsidRDefault="0052019A" w:rsidP="0052019A">
      <w:pPr>
        <w:pStyle w:val="BodyCopy"/>
        <w:numPr>
          <w:ilvl w:val="0"/>
          <w:numId w:val="10"/>
        </w:numPr>
        <w:bidi/>
        <w:rPr>
          <w:rFonts w:asciiTheme="minorHAnsi" w:hAnsiTheme="minorHAnsi" w:cstheme="minorHAnsi"/>
          <w:sz w:val="24"/>
          <w:szCs w:val="24"/>
          <w:lang w:val="en-GB"/>
        </w:rPr>
      </w:pPr>
      <w:r w:rsidRPr="00D80D52">
        <w:rPr>
          <w:rFonts w:asciiTheme="minorHAnsi" w:hAnsiTheme="minorHAnsi" w:cstheme="minorHAnsi"/>
          <w:sz w:val="24"/>
          <w:szCs w:val="24"/>
          <w:rtl/>
          <w:lang w:val="en-GB"/>
        </w:rPr>
        <w:t>ابدأ بالسؤال الأول من شجرة القرارات أدناه واتبع الأسهم وفقًا لإجاباتك، والتي ستقودك إلى المستوى المناسب لآلية التغذية الراجعة الخاصة بك.</w:t>
      </w:r>
    </w:p>
    <w:p w14:paraId="2DF1B2DE" w14:textId="3E8395FA" w:rsidR="0052019A" w:rsidRPr="00D80D52" w:rsidRDefault="0052019A" w:rsidP="0052019A">
      <w:pPr>
        <w:pStyle w:val="BodyCopy"/>
        <w:numPr>
          <w:ilvl w:val="0"/>
          <w:numId w:val="10"/>
        </w:numPr>
        <w:bidi/>
        <w:rPr>
          <w:rFonts w:asciiTheme="minorHAnsi" w:hAnsiTheme="minorHAnsi" w:cstheme="minorHAnsi"/>
          <w:sz w:val="24"/>
          <w:szCs w:val="24"/>
          <w:lang w:val="en-GB"/>
        </w:rPr>
      </w:pPr>
      <w:r w:rsidRPr="00D80D52">
        <w:rPr>
          <w:rFonts w:asciiTheme="minorHAnsi" w:hAnsiTheme="minorHAnsi" w:cstheme="minorHAnsi"/>
          <w:sz w:val="24"/>
          <w:szCs w:val="24"/>
          <w:rtl/>
          <w:lang w:val="en-GB"/>
        </w:rPr>
        <w:t xml:space="preserve">انتقل إلى الجدول الموجود أسفل شجرة القرارات لمعرفة المزيد حول خصائص آلية التغذية الراجعة التي تعمل على </w:t>
      </w:r>
      <w:r w:rsidRPr="00D80D52">
        <w:rPr>
          <w:rFonts w:asciiTheme="minorHAnsi" w:hAnsiTheme="minorHAnsi" w:cstheme="minorHAnsi"/>
          <w:sz w:val="24"/>
          <w:szCs w:val="24"/>
          <w:rtl/>
          <w:lang w:bidi="ar-JO"/>
        </w:rPr>
        <w:t>ذلك</w:t>
      </w:r>
      <w:r w:rsidRPr="00D80D52">
        <w:rPr>
          <w:rFonts w:asciiTheme="minorHAnsi" w:hAnsiTheme="minorHAnsi" w:cstheme="minorHAnsi"/>
          <w:sz w:val="24"/>
          <w:szCs w:val="24"/>
          <w:rtl/>
          <w:lang w:val="en-GB"/>
        </w:rPr>
        <w:t xml:space="preserve"> المستوى</w:t>
      </w:r>
    </w:p>
    <w:p w14:paraId="589274AA" w14:textId="1571818C" w:rsidR="0052019A" w:rsidRPr="00D80D52" w:rsidRDefault="0052019A" w:rsidP="0052019A">
      <w:pPr>
        <w:pStyle w:val="BodyCopy"/>
        <w:numPr>
          <w:ilvl w:val="0"/>
          <w:numId w:val="10"/>
        </w:numPr>
        <w:bidi/>
        <w:rPr>
          <w:rFonts w:asciiTheme="minorHAnsi" w:hAnsiTheme="minorHAnsi" w:cstheme="minorHAnsi"/>
          <w:sz w:val="24"/>
          <w:szCs w:val="24"/>
          <w:lang w:val="en-GB"/>
        </w:rPr>
      </w:pPr>
      <w:r w:rsidRPr="00D80D52">
        <w:rPr>
          <w:rFonts w:asciiTheme="minorHAnsi" w:hAnsiTheme="minorHAnsi" w:cstheme="minorHAnsi"/>
          <w:sz w:val="24"/>
          <w:szCs w:val="24"/>
          <w:rtl/>
          <w:lang w:val="en-GB"/>
        </w:rPr>
        <w:t xml:space="preserve">استمر في عملية إعداد أو تعزيز آلية التغذية الراجعة </w:t>
      </w:r>
    </w:p>
    <w:p w14:paraId="0FE7C3A3" w14:textId="77777777" w:rsidR="0052019A" w:rsidRPr="00D80D52" w:rsidRDefault="0052019A" w:rsidP="0052019A">
      <w:pPr>
        <w:pStyle w:val="BodyCopy"/>
        <w:bidi/>
        <w:ind w:left="720"/>
        <w:rPr>
          <w:rFonts w:asciiTheme="minorHAnsi" w:hAnsiTheme="minorHAnsi" w:cstheme="minorHAnsi"/>
          <w:sz w:val="24"/>
          <w:szCs w:val="24"/>
          <w:rtl/>
          <w:lang w:val="en-GB"/>
        </w:rPr>
      </w:pPr>
    </w:p>
    <w:p w14:paraId="49490C5F" w14:textId="77777777" w:rsidR="0052019A" w:rsidRPr="00D80D52" w:rsidRDefault="0052019A" w:rsidP="0052019A">
      <w:pPr>
        <w:pStyle w:val="BodyCopy"/>
        <w:bidi/>
        <w:ind w:left="720"/>
        <w:rPr>
          <w:rFonts w:asciiTheme="minorHAnsi" w:hAnsiTheme="minorHAnsi" w:cstheme="minorHAnsi"/>
          <w:sz w:val="24"/>
          <w:szCs w:val="24"/>
          <w:rtl/>
          <w:lang w:val="en-GB"/>
        </w:rPr>
      </w:pPr>
    </w:p>
    <w:p w14:paraId="126C6F48" w14:textId="77777777" w:rsidR="0052019A" w:rsidRPr="00D80D52" w:rsidRDefault="0052019A" w:rsidP="0052019A">
      <w:pPr>
        <w:pStyle w:val="BodyCopy"/>
        <w:bidi/>
        <w:ind w:left="720"/>
        <w:rPr>
          <w:rFonts w:asciiTheme="minorHAnsi" w:hAnsiTheme="minorHAnsi" w:cstheme="minorHAnsi"/>
          <w:sz w:val="24"/>
          <w:szCs w:val="24"/>
          <w:rtl/>
          <w:lang w:val="en-GB"/>
        </w:rPr>
      </w:pPr>
    </w:p>
    <w:p w14:paraId="64F5DDAB" w14:textId="77777777" w:rsidR="0052019A" w:rsidRPr="00D80D52" w:rsidRDefault="0052019A" w:rsidP="0052019A">
      <w:pPr>
        <w:pStyle w:val="BodyCopy"/>
        <w:bidi/>
        <w:ind w:left="720"/>
        <w:rPr>
          <w:rFonts w:asciiTheme="minorHAnsi" w:hAnsiTheme="minorHAnsi" w:cstheme="minorHAnsi"/>
          <w:sz w:val="24"/>
          <w:szCs w:val="24"/>
          <w:rtl/>
          <w:lang w:val="en-GB"/>
        </w:rPr>
      </w:pPr>
    </w:p>
    <w:p w14:paraId="4745D205" w14:textId="77777777" w:rsidR="0052019A" w:rsidRPr="00D80D52" w:rsidRDefault="0052019A" w:rsidP="0052019A">
      <w:pPr>
        <w:pStyle w:val="BodyCopy"/>
        <w:bidi/>
        <w:ind w:left="720"/>
        <w:rPr>
          <w:rFonts w:asciiTheme="minorHAnsi" w:hAnsiTheme="minorHAnsi" w:cstheme="minorHAnsi"/>
          <w:sz w:val="24"/>
          <w:szCs w:val="24"/>
          <w:rtl/>
          <w:lang w:val="en-GB"/>
        </w:rPr>
      </w:pPr>
    </w:p>
    <w:p w14:paraId="5C96EF0B" w14:textId="77777777" w:rsidR="0052019A" w:rsidRPr="00D80D52" w:rsidRDefault="0052019A" w:rsidP="0052019A">
      <w:pPr>
        <w:pStyle w:val="BodyCopy"/>
        <w:bidi/>
        <w:ind w:left="720"/>
        <w:rPr>
          <w:rFonts w:asciiTheme="minorHAnsi" w:hAnsiTheme="minorHAnsi" w:cstheme="minorHAnsi"/>
          <w:sz w:val="24"/>
          <w:szCs w:val="24"/>
          <w:rtl/>
          <w:lang w:val="en-GB"/>
        </w:rPr>
      </w:pPr>
    </w:p>
    <w:p w14:paraId="255D620C" w14:textId="77777777" w:rsidR="0052019A" w:rsidRPr="00D80D52" w:rsidRDefault="0052019A" w:rsidP="0052019A">
      <w:pPr>
        <w:pStyle w:val="BodyCopy"/>
        <w:bidi/>
        <w:ind w:left="720"/>
        <w:rPr>
          <w:rFonts w:asciiTheme="minorHAnsi" w:hAnsiTheme="minorHAnsi" w:cstheme="minorHAnsi"/>
          <w:sz w:val="24"/>
          <w:szCs w:val="24"/>
          <w:rtl/>
          <w:lang w:val="en-GB"/>
        </w:rPr>
      </w:pPr>
    </w:p>
    <w:p w14:paraId="0A87332A" w14:textId="77777777" w:rsidR="0052019A" w:rsidRPr="00D80D52" w:rsidRDefault="0052019A" w:rsidP="0052019A">
      <w:pPr>
        <w:pStyle w:val="BodyCopy"/>
        <w:bidi/>
        <w:ind w:left="720"/>
        <w:rPr>
          <w:rFonts w:asciiTheme="minorHAnsi" w:hAnsiTheme="minorHAnsi" w:cstheme="minorHAnsi"/>
          <w:sz w:val="24"/>
          <w:szCs w:val="24"/>
          <w:rtl/>
          <w:lang w:val="en-GB"/>
        </w:rPr>
      </w:pPr>
    </w:p>
    <w:p w14:paraId="7FC28CB3" w14:textId="77777777" w:rsidR="0052019A" w:rsidRPr="00D80D52" w:rsidRDefault="0052019A" w:rsidP="0052019A">
      <w:pPr>
        <w:pStyle w:val="BodyCopy"/>
        <w:bidi/>
        <w:ind w:left="720"/>
        <w:rPr>
          <w:rFonts w:asciiTheme="minorHAnsi" w:hAnsiTheme="minorHAnsi" w:cstheme="minorHAnsi"/>
          <w:sz w:val="24"/>
          <w:szCs w:val="24"/>
          <w:rtl/>
          <w:lang w:val="en-GB"/>
        </w:rPr>
      </w:pPr>
    </w:p>
    <w:p w14:paraId="659CA2F0" w14:textId="77777777" w:rsidR="0052019A" w:rsidRPr="00D80D52" w:rsidRDefault="0052019A" w:rsidP="0052019A">
      <w:pPr>
        <w:pStyle w:val="BodyCopy"/>
        <w:bidi/>
        <w:ind w:left="720"/>
        <w:rPr>
          <w:rFonts w:asciiTheme="minorHAnsi" w:hAnsiTheme="minorHAnsi" w:cstheme="minorHAnsi"/>
          <w:sz w:val="24"/>
          <w:szCs w:val="24"/>
          <w:rtl/>
          <w:lang w:val="en-GB"/>
        </w:rPr>
      </w:pPr>
    </w:p>
    <w:p w14:paraId="4523D164" w14:textId="77777777" w:rsidR="0052019A" w:rsidRPr="00D80D52" w:rsidRDefault="0052019A" w:rsidP="0052019A">
      <w:pPr>
        <w:pStyle w:val="BodyCopy"/>
        <w:bidi/>
        <w:ind w:left="720"/>
        <w:rPr>
          <w:rFonts w:asciiTheme="minorHAnsi" w:hAnsiTheme="minorHAnsi" w:cstheme="minorHAnsi"/>
          <w:sz w:val="24"/>
          <w:szCs w:val="24"/>
          <w:rtl/>
          <w:lang w:val="en-GB"/>
        </w:rPr>
      </w:pPr>
    </w:p>
    <w:p w14:paraId="0A24BB01" w14:textId="77777777" w:rsidR="0052019A" w:rsidRPr="00D80D52" w:rsidRDefault="0052019A" w:rsidP="0052019A">
      <w:pPr>
        <w:pStyle w:val="BodyCopy"/>
        <w:bidi/>
        <w:ind w:left="720"/>
        <w:rPr>
          <w:rFonts w:asciiTheme="minorHAnsi" w:hAnsiTheme="minorHAnsi" w:cstheme="minorHAnsi"/>
          <w:sz w:val="24"/>
          <w:szCs w:val="24"/>
          <w:rtl/>
          <w:lang w:val="en-GB"/>
        </w:rPr>
      </w:pPr>
    </w:p>
    <w:tbl>
      <w:tblPr>
        <w:tblStyle w:val="TableGrid"/>
        <w:bidiVisual/>
        <w:tblW w:w="0" w:type="auto"/>
        <w:tblInd w:w="720" w:type="dxa"/>
        <w:tblLook w:val="04A0" w:firstRow="1" w:lastRow="0" w:firstColumn="1" w:lastColumn="0" w:noHBand="0" w:noVBand="1"/>
      </w:tblPr>
      <w:tblGrid>
        <w:gridCol w:w="4296"/>
        <w:gridCol w:w="4297"/>
        <w:gridCol w:w="1480"/>
        <w:gridCol w:w="3161"/>
      </w:tblGrid>
      <w:tr w:rsidR="0052019A" w:rsidRPr="00D80D52" w14:paraId="791B2484" w14:textId="282F8315" w:rsidTr="0052019A">
        <w:tc>
          <w:tcPr>
            <w:tcW w:w="4428" w:type="dxa"/>
          </w:tcPr>
          <w:p w14:paraId="6E604CCD" w14:textId="77777777" w:rsidR="0052019A" w:rsidRPr="00D80D52" w:rsidRDefault="0052019A"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هل سُتجمع التغذية الراجعة ضمن فريق محلي واحد فقط؟</w:t>
            </w:r>
          </w:p>
          <w:p w14:paraId="56369541" w14:textId="22AEBC69" w:rsidR="0052019A" w:rsidRPr="00D80D52" w:rsidRDefault="0052019A" w:rsidP="0052019A">
            <w:pPr>
              <w:pStyle w:val="BodyCopy"/>
              <w:bidi/>
              <w:rPr>
                <w:rFonts w:asciiTheme="minorHAnsi" w:hAnsiTheme="minorHAnsi" w:cstheme="minorHAnsi"/>
                <w:sz w:val="24"/>
                <w:szCs w:val="24"/>
                <w:rtl/>
                <w:lang w:val="en-US" w:bidi="ar-JO"/>
              </w:rPr>
            </w:pPr>
            <w:r w:rsidRPr="00D80D52">
              <w:rPr>
                <w:rFonts w:asciiTheme="minorHAnsi" w:hAnsiTheme="minorHAnsi" w:cstheme="minorHAnsi"/>
                <w:sz w:val="24"/>
                <w:szCs w:val="24"/>
                <w:rtl/>
                <w:lang w:val="en-GB"/>
              </w:rPr>
              <w:t xml:space="preserve">على سبيل المثال، أثناء أنشطتك المعتادة، أو </w:t>
            </w:r>
            <w:r w:rsidRPr="00D80D52">
              <w:rPr>
                <w:rFonts w:asciiTheme="minorHAnsi" w:hAnsiTheme="minorHAnsi" w:cstheme="minorHAnsi"/>
                <w:sz w:val="24"/>
                <w:szCs w:val="24"/>
                <w:rtl/>
                <w:lang w:val="en-US" w:bidi="ar-JO"/>
              </w:rPr>
              <w:t>مكتب مساعدة متخصص أو لجنة مجتمع محلي؟</w:t>
            </w:r>
          </w:p>
        </w:tc>
        <w:tc>
          <w:tcPr>
            <w:tcW w:w="4423" w:type="dxa"/>
          </w:tcPr>
          <w:p w14:paraId="0708BD8D" w14:textId="5D75CA2B" w:rsidR="0052019A" w:rsidRPr="00D80D52" w:rsidRDefault="0052019A"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هل يتوفر لدى فريقك المهارات والوقت والموارد لتحليل البيانات بشكل منهجي؟</w:t>
            </w:r>
          </w:p>
        </w:tc>
        <w:tc>
          <w:tcPr>
            <w:tcW w:w="1140" w:type="dxa"/>
          </w:tcPr>
          <w:p w14:paraId="755C8304" w14:textId="3E92AD20" w:rsidR="0052019A" w:rsidRPr="00D80D52" w:rsidRDefault="0052019A"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 xml:space="preserve">مستوى الفريق المحلي </w:t>
            </w:r>
          </w:p>
        </w:tc>
        <w:tc>
          <w:tcPr>
            <w:tcW w:w="3243" w:type="dxa"/>
          </w:tcPr>
          <w:p w14:paraId="41C472A7" w14:textId="3EA93AA0" w:rsidR="0052019A" w:rsidRPr="00D80D52" w:rsidRDefault="00D16F21" w:rsidP="00D16F21">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 xml:space="preserve">اضمن حلقة تغذية راجعة كاملة ضمن نطاق الفريق، واضمن مشاركة النتائج والدروس المستفادة مع الزملاء على مستوى المنطقة/الفرع. في حال كان هناك فرق أخرى في منطقتك تجمع التغذية الراجعة، ناقش تلك الفرق بشأن إمكانية وكيفية دمج التغذية الراجعة مع بياناتك للخروج بنظرة عامة حول التغذية الراجعة المجتمعية على مستوى المنطقة. </w:t>
            </w:r>
          </w:p>
        </w:tc>
      </w:tr>
      <w:tr w:rsidR="0052019A" w:rsidRPr="00D80D52" w14:paraId="58E5102B" w14:textId="2D7A74D2" w:rsidTr="0052019A">
        <w:tc>
          <w:tcPr>
            <w:tcW w:w="4428" w:type="dxa"/>
          </w:tcPr>
          <w:p w14:paraId="51540197" w14:textId="77777777" w:rsidR="0052019A" w:rsidRPr="00D80D52" w:rsidRDefault="00D16F21"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هل ستُجمع التغذية الراجعة فقط من خلال قنوات يمكن الوصول إليها من مواقع عبر المنطقة/الفرع؟</w:t>
            </w:r>
          </w:p>
          <w:p w14:paraId="2154C3BB" w14:textId="299CF73F" w:rsidR="00D16F21" w:rsidRPr="00D80D52" w:rsidRDefault="00D16F21" w:rsidP="00D16F21">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على سبيل المثال، من خلال الخط الساخن المحلي أو برنامج إذاعي تفاعلي؟</w:t>
            </w:r>
          </w:p>
        </w:tc>
        <w:tc>
          <w:tcPr>
            <w:tcW w:w="4423" w:type="dxa"/>
          </w:tcPr>
          <w:p w14:paraId="4BE5A670" w14:textId="604AE7AD" w:rsidR="0052019A" w:rsidRPr="00D80D52" w:rsidRDefault="00D16F21" w:rsidP="00D16F21">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هل هناك مهارات ووقت وموارد على مستوى المنطقة/الفرع لتحليل البيانات بشكل منهجي أو هل يمكن تطويرها/توفيرها؟</w:t>
            </w:r>
          </w:p>
        </w:tc>
        <w:tc>
          <w:tcPr>
            <w:tcW w:w="1140" w:type="dxa"/>
          </w:tcPr>
          <w:p w14:paraId="442EF7CB" w14:textId="4185B45A" w:rsidR="0052019A" w:rsidRPr="00D80D52" w:rsidRDefault="00802362"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مستوى المنطقة/الفرع</w:t>
            </w:r>
          </w:p>
        </w:tc>
        <w:tc>
          <w:tcPr>
            <w:tcW w:w="3243" w:type="dxa"/>
          </w:tcPr>
          <w:p w14:paraId="7EA5AABE" w14:textId="77777777" w:rsidR="0052019A" w:rsidRPr="00D80D52" w:rsidRDefault="00802362" w:rsidP="00802362">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 xml:space="preserve">ناقش نتائج التغذية الراجعة مع أصحاب المصحلة على مستوى المنطقة/الفرع، واضمن مشاركة النتائج والخطوات التالية ومناقشتها مع الفرق المحلية لتمكينها من التصرف بناء على التغذية الراجعة، وأغلق حلقة التغذية الراجعة بخصوص القرارات المتخذة على مستوى المنطقة/الفرع. </w:t>
            </w:r>
          </w:p>
          <w:p w14:paraId="4DE07022" w14:textId="71BEF417" w:rsidR="00802362" w:rsidRPr="00D80D52" w:rsidRDefault="00802362" w:rsidP="00802362">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 xml:space="preserve">في حال جُمعت التغذية الراجعة في مناطق/فروع أخرى، ناقش إمكانية وكيفية دمج التغذية الراجعة مع بياناتك للخروج بنظرة عامة حول التغذية الراجعة المجتمعية على مستوى المنطقة أو المستوى الوطني. </w:t>
            </w:r>
          </w:p>
        </w:tc>
      </w:tr>
      <w:tr w:rsidR="0052019A" w:rsidRPr="00D80D52" w14:paraId="26F51FE9" w14:textId="5862A50A" w:rsidTr="00802362">
        <w:trPr>
          <w:trHeight w:val="340"/>
        </w:trPr>
        <w:tc>
          <w:tcPr>
            <w:tcW w:w="4428" w:type="dxa"/>
          </w:tcPr>
          <w:p w14:paraId="0B00C84B" w14:textId="38109BCB" w:rsidR="0052019A" w:rsidRPr="00D80D52" w:rsidRDefault="00802362"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 xml:space="preserve">هل التغذية الراجعة التي تحصل عليها ترد إليك من جميع أنحاء البلد؟ </w:t>
            </w:r>
          </w:p>
          <w:p w14:paraId="66AA3143" w14:textId="7F41DFD1" w:rsidR="00802362" w:rsidRPr="00D80D52" w:rsidRDefault="00802362" w:rsidP="00802362">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على سبيل المثال، من خلال خط وطني ساخن أو من خلال وسائل التواصل الاجتماعي؟</w:t>
            </w:r>
          </w:p>
        </w:tc>
        <w:tc>
          <w:tcPr>
            <w:tcW w:w="4423" w:type="dxa"/>
          </w:tcPr>
          <w:p w14:paraId="2A30C9E8" w14:textId="7DD32452" w:rsidR="0052019A" w:rsidRPr="00D80D52" w:rsidRDefault="00802362" w:rsidP="00802362">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هل هناك مهارات ووقت وموارد على المستوى الوطني لتحليل البيانات بشكل منهجي أو هل يمكن تطويرها/توفيرها؟</w:t>
            </w:r>
          </w:p>
        </w:tc>
        <w:tc>
          <w:tcPr>
            <w:tcW w:w="1140" w:type="dxa"/>
          </w:tcPr>
          <w:p w14:paraId="2CBE98B5" w14:textId="600F8DA5" w:rsidR="0052019A" w:rsidRPr="00D80D52" w:rsidRDefault="00802362"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المستوى القطري</w:t>
            </w:r>
          </w:p>
        </w:tc>
        <w:tc>
          <w:tcPr>
            <w:tcW w:w="3243" w:type="dxa"/>
          </w:tcPr>
          <w:p w14:paraId="18933B4B" w14:textId="769023B4" w:rsidR="00802362" w:rsidRPr="00D80D52" w:rsidRDefault="00802362" w:rsidP="00802362">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 xml:space="preserve">ناقش نتائج التغذية الراجعة مع أصحاب المصحلة على المستوى القطري واضمن مشاركة النتائج والخطوات التالية ومناقشتها مع الفرق المحلية لتمكينها من التصرف بناء على </w:t>
            </w:r>
            <w:r w:rsidRPr="00D80D52">
              <w:rPr>
                <w:rFonts w:asciiTheme="minorHAnsi" w:hAnsiTheme="minorHAnsi" w:cstheme="minorHAnsi"/>
                <w:sz w:val="24"/>
                <w:szCs w:val="24"/>
                <w:rtl/>
                <w:lang w:val="en-GB"/>
              </w:rPr>
              <w:lastRenderedPageBreak/>
              <w:t xml:space="preserve">التغذية الراجعة، وأغلق حلقة التغذية الراجعة بخصوص القرارات المتخذة على المستوى القطري.  </w:t>
            </w:r>
          </w:p>
          <w:p w14:paraId="5B62551C" w14:textId="7F4491A7" w:rsidR="0052019A" w:rsidRPr="00D80D52" w:rsidRDefault="00802362" w:rsidP="00510627">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 xml:space="preserve">في حال جُمعت التغذية الراجعة من خلال شركاء آخرين و/أو في منطاق أخرى، ناقش إمكانية وكيفية دمج التغذية الراجعة مع بياناتك للخروج بنظرة عامة حول التغذية الراجعة المجتمعية على مستوى </w:t>
            </w:r>
            <w:r w:rsidR="00510627" w:rsidRPr="00D80D52">
              <w:rPr>
                <w:rFonts w:asciiTheme="minorHAnsi" w:hAnsiTheme="minorHAnsi" w:cstheme="minorHAnsi"/>
                <w:sz w:val="24"/>
                <w:szCs w:val="24"/>
                <w:rtl/>
                <w:lang w:val="en-GB"/>
              </w:rPr>
              <w:t>الشركاء و/</w:t>
            </w:r>
            <w:r w:rsidRPr="00D80D52">
              <w:rPr>
                <w:rFonts w:asciiTheme="minorHAnsi" w:hAnsiTheme="minorHAnsi" w:cstheme="minorHAnsi"/>
                <w:sz w:val="24"/>
                <w:szCs w:val="24"/>
                <w:rtl/>
                <w:lang w:val="en-GB"/>
              </w:rPr>
              <w:t xml:space="preserve">أو </w:t>
            </w:r>
            <w:r w:rsidR="00510627" w:rsidRPr="00D80D52">
              <w:rPr>
                <w:rFonts w:asciiTheme="minorHAnsi" w:hAnsiTheme="minorHAnsi" w:cstheme="minorHAnsi"/>
                <w:sz w:val="24"/>
                <w:szCs w:val="24"/>
                <w:rtl/>
                <w:lang w:val="en-GB"/>
              </w:rPr>
              <w:t xml:space="preserve">مستوى المنطقة. </w:t>
            </w:r>
          </w:p>
        </w:tc>
      </w:tr>
      <w:tr w:rsidR="0052019A" w:rsidRPr="00D80D52" w14:paraId="382F68B6" w14:textId="2602DFBE" w:rsidTr="0052019A">
        <w:tc>
          <w:tcPr>
            <w:tcW w:w="4428" w:type="dxa"/>
          </w:tcPr>
          <w:p w14:paraId="24D6046A" w14:textId="41E7EEED" w:rsidR="0052019A" w:rsidRPr="00D80D52" w:rsidRDefault="00510627"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lastRenderedPageBreak/>
              <w:t xml:space="preserve">عدم القدرة على تحليل البيانات على أي مستوى من المستويات: استحدث آلية بسيطة حيث تُشارك وتُناقش البيانات شفويا على المستوى الذي جمعت على أساسه. </w:t>
            </w:r>
          </w:p>
        </w:tc>
        <w:tc>
          <w:tcPr>
            <w:tcW w:w="4423" w:type="dxa"/>
          </w:tcPr>
          <w:p w14:paraId="41741705" w14:textId="3F9ADA0A" w:rsidR="0052019A" w:rsidRPr="00D80D52" w:rsidRDefault="00510627"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هل هناك استعداد وقدرة في منظمتك أو أي منظمة أخرى لتحليل التغذية الراجعة بطريقة منهجية؟ أو هل يمكن بناء تلك القدرات؟</w:t>
            </w:r>
          </w:p>
        </w:tc>
        <w:tc>
          <w:tcPr>
            <w:tcW w:w="1140" w:type="dxa"/>
          </w:tcPr>
          <w:p w14:paraId="1DA403B8" w14:textId="08BE1413" w:rsidR="0052019A" w:rsidRPr="00D80D52" w:rsidRDefault="00510627" w:rsidP="0052019A">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المستوى الوطني/المشترك بين الوكالات</w:t>
            </w:r>
          </w:p>
        </w:tc>
        <w:tc>
          <w:tcPr>
            <w:tcW w:w="3243" w:type="dxa"/>
          </w:tcPr>
          <w:p w14:paraId="574E33FE" w14:textId="68452B9E" w:rsidR="0052019A" w:rsidRPr="00D80D52" w:rsidRDefault="00510627" w:rsidP="00510627">
            <w:pPr>
              <w:pStyle w:val="BodyCopy"/>
              <w:bidi/>
              <w:rPr>
                <w:rFonts w:asciiTheme="minorHAnsi" w:hAnsiTheme="minorHAnsi" w:cstheme="minorHAnsi"/>
                <w:sz w:val="24"/>
                <w:szCs w:val="24"/>
                <w:rtl/>
                <w:lang w:val="en-GB"/>
              </w:rPr>
            </w:pPr>
            <w:r w:rsidRPr="00D80D52">
              <w:rPr>
                <w:rFonts w:asciiTheme="minorHAnsi" w:hAnsiTheme="minorHAnsi" w:cstheme="minorHAnsi"/>
                <w:sz w:val="24"/>
                <w:szCs w:val="24"/>
                <w:rtl/>
                <w:lang w:val="en-GB"/>
              </w:rPr>
              <w:t xml:space="preserve">ناقش نتائج التغذية الراجعة مع أصحاب المصحلة على المستوى القطري واالإقليمي واضمن مشاركة النتائج والخطوات التالية ومناقشتها مع مستويات قريبة من المجتمعات لتمكينها من التصرف بناء على التغذية الراجعة، وأغلق حلقة التغذية الراجعة بخصوص القرارات المتخذة على المستوى القطري.  </w:t>
            </w:r>
          </w:p>
        </w:tc>
      </w:tr>
    </w:tbl>
    <w:p w14:paraId="3E26C864" w14:textId="77777777" w:rsidR="0052019A" w:rsidRPr="00D80D52" w:rsidRDefault="0052019A" w:rsidP="0052019A">
      <w:pPr>
        <w:pStyle w:val="BodyCopy"/>
        <w:bidi/>
        <w:ind w:left="720"/>
        <w:rPr>
          <w:rFonts w:asciiTheme="minorHAnsi" w:hAnsiTheme="minorHAnsi" w:cstheme="minorHAnsi"/>
          <w:sz w:val="24"/>
          <w:szCs w:val="24"/>
          <w:rtl/>
          <w:lang w:val="en-GB"/>
        </w:rPr>
      </w:pPr>
    </w:p>
    <w:p w14:paraId="6B63B670" w14:textId="77777777" w:rsidR="00510627" w:rsidRPr="00D80D52" w:rsidRDefault="00510627" w:rsidP="00510627">
      <w:pPr>
        <w:pStyle w:val="BodyCopy"/>
        <w:bidi/>
        <w:ind w:left="720"/>
        <w:rPr>
          <w:rFonts w:asciiTheme="minorHAnsi" w:hAnsiTheme="minorHAnsi" w:cstheme="minorHAnsi"/>
          <w:sz w:val="24"/>
          <w:szCs w:val="24"/>
          <w:rtl/>
          <w:lang w:val="en-GB"/>
        </w:rPr>
      </w:pPr>
    </w:p>
    <w:p w14:paraId="6B5ACB64" w14:textId="77777777" w:rsidR="00510627" w:rsidRPr="00D80D52" w:rsidRDefault="00510627" w:rsidP="00510627">
      <w:pPr>
        <w:pStyle w:val="BodyCopy"/>
        <w:bidi/>
        <w:ind w:left="720"/>
        <w:rPr>
          <w:rFonts w:asciiTheme="minorHAnsi" w:hAnsiTheme="minorHAnsi" w:cstheme="minorHAnsi"/>
          <w:sz w:val="24"/>
          <w:szCs w:val="24"/>
          <w:rtl/>
          <w:lang w:val="en-GB"/>
        </w:rPr>
      </w:pPr>
    </w:p>
    <w:p w14:paraId="153999F7" w14:textId="77777777" w:rsidR="00510627" w:rsidRPr="00D80D52" w:rsidRDefault="00510627" w:rsidP="00510627">
      <w:pPr>
        <w:pStyle w:val="BodyCopy"/>
        <w:bidi/>
        <w:ind w:left="720"/>
        <w:rPr>
          <w:rFonts w:asciiTheme="minorHAnsi" w:hAnsiTheme="minorHAnsi" w:cstheme="minorHAnsi"/>
          <w:sz w:val="24"/>
          <w:szCs w:val="24"/>
          <w:rtl/>
          <w:lang w:val="en-GB"/>
        </w:rPr>
      </w:pPr>
    </w:p>
    <w:p w14:paraId="5DD45C17" w14:textId="77777777" w:rsidR="00510627" w:rsidRPr="00D80D52" w:rsidRDefault="00510627" w:rsidP="00510627">
      <w:pPr>
        <w:pStyle w:val="BodyCopy"/>
        <w:bidi/>
        <w:ind w:left="720"/>
        <w:rPr>
          <w:rFonts w:asciiTheme="minorHAnsi" w:hAnsiTheme="minorHAnsi" w:cstheme="minorHAnsi"/>
          <w:sz w:val="24"/>
          <w:szCs w:val="24"/>
          <w:rtl/>
          <w:lang w:val="en-GB"/>
        </w:rPr>
      </w:pPr>
    </w:p>
    <w:p w14:paraId="36DDC382" w14:textId="77777777" w:rsidR="00510627" w:rsidRPr="00D80D52" w:rsidRDefault="00510627" w:rsidP="00510627">
      <w:pPr>
        <w:pStyle w:val="BodyCopy"/>
        <w:bidi/>
        <w:ind w:left="720"/>
        <w:rPr>
          <w:rFonts w:asciiTheme="minorHAnsi" w:hAnsiTheme="minorHAnsi" w:cstheme="minorHAnsi"/>
          <w:sz w:val="24"/>
          <w:szCs w:val="24"/>
          <w:rtl/>
          <w:lang w:val="en-GB"/>
        </w:rPr>
      </w:pPr>
    </w:p>
    <w:p w14:paraId="74A2344E" w14:textId="77777777" w:rsidR="00510627" w:rsidRPr="00D80D52" w:rsidRDefault="00510627" w:rsidP="00510627">
      <w:pPr>
        <w:pStyle w:val="BodyCopy"/>
        <w:bidi/>
        <w:ind w:left="720"/>
        <w:rPr>
          <w:rFonts w:asciiTheme="minorHAnsi" w:hAnsiTheme="minorHAnsi" w:cstheme="minorHAnsi"/>
          <w:sz w:val="24"/>
          <w:szCs w:val="24"/>
          <w:rtl/>
          <w:lang w:val="en-GB"/>
        </w:rPr>
      </w:pPr>
    </w:p>
    <w:p w14:paraId="0DBD8BA0" w14:textId="77777777" w:rsidR="00510627" w:rsidRPr="00D80D52" w:rsidRDefault="00510627" w:rsidP="00510627">
      <w:pPr>
        <w:pStyle w:val="BodyCopy"/>
        <w:bidi/>
        <w:ind w:left="720"/>
        <w:rPr>
          <w:rFonts w:asciiTheme="minorHAnsi" w:hAnsiTheme="minorHAnsi" w:cstheme="minorHAnsi"/>
          <w:sz w:val="24"/>
          <w:szCs w:val="24"/>
          <w:rtl/>
          <w:lang w:val="en-GB"/>
        </w:rPr>
      </w:pPr>
    </w:p>
    <w:p w14:paraId="3BA23332" w14:textId="77777777" w:rsidR="00510627" w:rsidRPr="00D80D52" w:rsidRDefault="00510627" w:rsidP="00510627">
      <w:pPr>
        <w:pStyle w:val="BodyCopy"/>
        <w:bidi/>
        <w:ind w:left="720"/>
        <w:rPr>
          <w:rFonts w:asciiTheme="minorHAnsi" w:hAnsiTheme="minorHAnsi" w:cstheme="minorHAnsi"/>
          <w:sz w:val="24"/>
          <w:szCs w:val="24"/>
          <w:rtl/>
          <w:lang w:val="en-GB"/>
        </w:rPr>
      </w:pPr>
    </w:p>
    <w:p w14:paraId="5892D63C" w14:textId="77777777" w:rsidR="00510627" w:rsidRPr="00D80D52" w:rsidRDefault="00510627" w:rsidP="00510627">
      <w:pPr>
        <w:pStyle w:val="BodyCopy"/>
        <w:bidi/>
        <w:ind w:left="720"/>
        <w:rPr>
          <w:rFonts w:asciiTheme="minorHAnsi" w:hAnsiTheme="minorHAnsi" w:cstheme="minorHAnsi"/>
          <w:sz w:val="24"/>
          <w:szCs w:val="24"/>
          <w:rtl/>
          <w:lang w:val="en-GB"/>
        </w:rPr>
      </w:pPr>
    </w:p>
    <w:p w14:paraId="1431AA2B" w14:textId="77777777" w:rsidR="00510627" w:rsidRPr="00D80D52" w:rsidRDefault="00510627" w:rsidP="00510627">
      <w:pPr>
        <w:pStyle w:val="BodyCopy"/>
        <w:bidi/>
        <w:ind w:left="720"/>
        <w:rPr>
          <w:rFonts w:asciiTheme="minorHAnsi" w:hAnsiTheme="minorHAnsi" w:cstheme="minorHAnsi"/>
          <w:sz w:val="24"/>
          <w:szCs w:val="24"/>
          <w:rtl/>
          <w:lang w:val="en-GB"/>
        </w:rPr>
      </w:pPr>
    </w:p>
    <w:p w14:paraId="5059FC73" w14:textId="77777777" w:rsidR="00510627" w:rsidRPr="00D80D52" w:rsidRDefault="00510627" w:rsidP="00510627">
      <w:pPr>
        <w:pStyle w:val="BodyCopy"/>
        <w:bidi/>
        <w:ind w:left="720"/>
        <w:rPr>
          <w:rFonts w:asciiTheme="minorHAnsi" w:hAnsiTheme="minorHAnsi" w:cstheme="minorHAnsi"/>
          <w:sz w:val="24"/>
          <w:szCs w:val="24"/>
          <w:rtl/>
          <w:lang w:val="en-GB"/>
        </w:rPr>
      </w:pPr>
    </w:p>
    <w:p w14:paraId="2736B6E6" w14:textId="77777777" w:rsidR="00510627" w:rsidRPr="00D80D52" w:rsidRDefault="00510627" w:rsidP="00510627">
      <w:pPr>
        <w:pStyle w:val="BodyCopy"/>
        <w:bidi/>
        <w:ind w:left="720"/>
        <w:rPr>
          <w:rFonts w:asciiTheme="minorHAnsi" w:hAnsiTheme="minorHAnsi" w:cstheme="minorHAnsi"/>
          <w:sz w:val="24"/>
          <w:szCs w:val="24"/>
          <w:rtl/>
          <w:lang w:val="en-GB"/>
        </w:rPr>
      </w:pPr>
    </w:p>
    <w:p w14:paraId="79135757" w14:textId="77777777" w:rsidR="00510627" w:rsidRPr="00D80D52" w:rsidRDefault="00510627" w:rsidP="00510627">
      <w:pPr>
        <w:pStyle w:val="BodyCopy"/>
        <w:bidi/>
        <w:ind w:left="720"/>
        <w:rPr>
          <w:rFonts w:asciiTheme="minorHAnsi" w:hAnsiTheme="minorHAnsi" w:cstheme="minorHAnsi"/>
          <w:sz w:val="24"/>
          <w:szCs w:val="24"/>
          <w:rtl/>
          <w:lang w:val="en-GB"/>
        </w:rPr>
      </w:pPr>
    </w:p>
    <w:p w14:paraId="760A90E0" w14:textId="77777777" w:rsidR="00510627" w:rsidRPr="00D80D52" w:rsidRDefault="00510627" w:rsidP="00510627">
      <w:pPr>
        <w:pStyle w:val="BodyCopy"/>
        <w:bidi/>
        <w:ind w:left="720"/>
        <w:rPr>
          <w:rFonts w:asciiTheme="minorHAnsi" w:hAnsiTheme="minorHAnsi" w:cstheme="minorHAnsi"/>
          <w:sz w:val="24"/>
          <w:szCs w:val="24"/>
          <w:rtl/>
          <w:lang w:val="en-GB"/>
        </w:rPr>
      </w:pPr>
    </w:p>
    <w:p w14:paraId="0E64CD5A" w14:textId="77777777" w:rsidR="00510627" w:rsidRPr="00D80D52" w:rsidRDefault="00510627" w:rsidP="00510627">
      <w:pPr>
        <w:pStyle w:val="BodyCopy"/>
        <w:bidi/>
        <w:ind w:left="720"/>
        <w:rPr>
          <w:rFonts w:asciiTheme="minorHAnsi" w:hAnsiTheme="minorHAnsi" w:cstheme="minorHAnsi"/>
          <w:sz w:val="24"/>
          <w:szCs w:val="24"/>
          <w:rtl/>
          <w:lang w:val="en-GB"/>
        </w:rPr>
      </w:pPr>
    </w:p>
    <w:p w14:paraId="4C269F6E" w14:textId="77777777" w:rsidR="00510627" w:rsidRPr="00D80D52" w:rsidRDefault="00510627" w:rsidP="00510627">
      <w:pPr>
        <w:pStyle w:val="BodyCopy"/>
        <w:bidi/>
        <w:ind w:left="720"/>
        <w:rPr>
          <w:rFonts w:asciiTheme="minorHAnsi" w:hAnsiTheme="minorHAnsi" w:cstheme="minorHAnsi"/>
          <w:sz w:val="24"/>
          <w:szCs w:val="24"/>
          <w:rtl/>
          <w:lang w:val="en-GB"/>
        </w:rPr>
      </w:pPr>
    </w:p>
    <w:p w14:paraId="00BF1F79" w14:textId="77777777" w:rsidR="00510627" w:rsidRPr="00D80D52" w:rsidRDefault="00510627" w:rsidP="00510627">
      <w:pPr>
        <w:pStyle w:val="BodyCopy"/>
        <w:bidi/>
        <w:ind w:left="720"/>
        <w:rPr>
          <w:rFonts w:asciiTheme="minorHAnsi" w:hAnsiTheme="minorHAnsi" w:cstheme="minorHAnsi"/>
          <w:sz w:val="24"/>
          <w:szCs w:val="24"/>
          <w:rtl/>
          <w:lang w:val="en-GB"/>
        </w:rPr>
      </w:pPr>
    </w:p>
    <w:p w14:paraId="3F2716A3" w14:textId="77777777" w:rsidR="00510627" w:rsidRPr="00D80D52" w:rsidRDefault="00510627" w:rsidP="00510627">
      <w:pPr>
        <w:pStyle w:val="BodyCopy"/>
        <w:bidi/>
        <w:ind w:left="720"/>
        <w:rPr>
          <w:rFonts w:asciiTheme="minorHAnsi" w:hAnsiTheme="minorHAnsi" w:cstheme="minorHAnsi"/>
          <w:sz w:val="24"/>
          <w:szCs w:val="24"/>
          <w:rtl/>
          <w:lang w:val="en-GB"/>
        </w:rPr>
      </w:pPr>
    </w:p>
    <w:p w14:paraId="599C2F1A" w14:textId="77777777" w:rsidR="00510627" w:rsidRPr="00D80D52" w:rsidRDefault="00510627" w:rsidP="00510627">
      <w:pPr>
        <w:pStyle w:val="BodyCopy"/>
        <w:bidi/>
        <w:ind w:left="720"/>
        <w:rPr>
          <w:rFonts w:asciiTheme="minorHAnsi" w:hAnsiTheme="minorHAnsi" w:cstheme="minorHAnsi"/>
          <w:sz w:val="24"/>
          <w:szCs w:val="24"/>
          <w:rtl/>
          <w:lang w:val="en-GB"/>
        </w:rPr>
      </w:pPr>
    </w:p>
    <w:p w14:paraId="57C7CD1D" w14:textId="77777777" w:rsidR="00510627" w:rsidRPr="00D80D52" w:rsidRDefault="00510627" w:rsidP="00510627">
      <w:pPr>
        <w:pStyle w:val="BodyCopy"/>
        <w:bidi/>
        <w:ind w:left="720"/>
        <w:rPr>
          <w:rFonts w:asciiTheme="minorHAnsi" w:hAnsiTheme="minorHAnsi" w:cstheme="minorHAnsi"/>
          <w:sz w:val="24"/>
          <w:szCs w:val="24"/>
          <w:rtl/>
          <w:lang w:val="en-GB"/>
        </w:rPr>
      </w:pPr>
    </w:p>
    <w:p w14:paraId="2714B51E" w14:textId="77777777" w:rsidR="00510627" w:rsidRPr="00D80D52" w:rsidRDefault="00510627" w:rsidP="00510627">
      <w:pPr>
        <w:pStyle w:val="BodyCopy"/>
        <w:bidi/>
        <w:ind w:left="720"/>
        <w:rPr>
          <w:rFonts w:asciiTheme="minorHAnsi" w:hAnsiTheme="minorHAnsi" w:cstheme="minorHAnsi"/>
          <w:sz w:val="24"/>
          <w:szCs w:val="24"/>
          <w:rtl/>
          <w:lang w:val="en-GB"/>
        </w:rPr>
      </w:pPr>
    </w:p>
    <w:p w14:paraId="607502BC" w14:textId="51A95450" w:rsidR="00510627" w:rsidRPr="00D80D52" w:rsidRDefault="00510627" w:rsidP="00510627">
      <w:pPr>
        <w:pStyle w:val="BodyCopy"/>
        <w:bidi/>
        <w:ind w:left="720"/>
        <w:rPr>
          <w:rFonts w:asciiTheme="minorHAnsi" w:hAnsiTheme="minorHAnsi" w:cstheme="minorHAnsi"/>
          <w:sz w:val="24"/>
          <w:szCs w:val="24"/>
          <w:rtl/>
          <w:lang w:val="en-GB"/>
        </w:rPr>
      </w:pPr>
      <w:r w:rsidRPr="00D80D52">
        <w:rPr>
          <w:rFonts w:asciiTheme="minorHAnsi" w:hAnsiTheme="minorHAnsi" w:cstheme="minorHAnsi"/>
          <w:sz w:val="24"/>
          <w:szCs w:val="24"/>
          <w:rtl/>
          <w:lang w:val="en-GB"/>
        </w:rPr>
        <w:t>يقدم الجدول أدناه نظرة عامة على النطاقات المختلفة لآلية التغذية الراجعة وكيف تبدو آلية التغذية الراجعة على ذلك المستوى:</w:t>
      </w:r>
    </w:p>
    <w:p w14:paraId="501F1047" w14:textId="77777777" w:rsidR="00510627" w:rsidRPr="00D80D52" w:rsidRDefault="00510627" w:rsidP="00510627">
      <w:pPr>
        <w:pStyle w:val="BodyCopy"/>
        <w:bidi/>
        <w:ind w:left="720"/>
        <w:rPr>
          <w:rFonts w:asciiTheme="minorHAnsi" w:hAnsiTheme="minorHAnsi" w:cstheme="minorHAnsi"/>
          <w:sz w:val="24"/>
          <w:szCs w:val="24"/>
          <w:rtl/>
          <w:lang w:val="en-GB"/>
        </w:rPr>
      </w:pPr>
    </w:p>
    <w:tbl>
      <w:tblPr>
        <w:tblStyle w:val="TableGrid"/>
        <w:bidiVisual/>
        <w:tblW w:w="15660" w:type="dxa"/>
        <w:tblInd w:w="-90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58" w:type="dxa"/>
          <w:left w:w="29" w:type="dxa"/>
          <w:bottom w:w="29" w:type="dxa"/>
          <w:right w:w="29" w:type="dxa"/>
        </w:tblCellMar>
        <w:tblLook w:val="04A0" w:firstRow="1" w:lastRow="0" w:firstColumn="1" w:lastColumn="0" w:noHBand="0" w:noVBand="1"/>
      </w:tblPr>
      <w:tblGrid>
        <w:gridCol w:w="1530"/>
        <w:gridCol w:w="2700"/>
        <w:gridCol w:w="2610"/>
        <w:gridCol w:w="2250"/>
        <w:gridCol w:w="2520"/>
        <w:gridCol w:w="1878"/>
        <w:gridCol w:w="2172"/>
      </w:tblGrid>
      <w:tr w:rsidR="00510627" w:rsidRPr="00D80D52" w14:paraId="3CA77FF7" w14:textId="77777777" w:rsidTr="00510627">
        <w:trPr>
          <w:trHeight w:val="432"/>
        </w:trPr>
        <w:tc>
          <w:tcPr>
            <w:tcW w:w="1530" w:type="dxa"/>
            <w:tcBorders>
              <w:right w:val="single" w:sz="4" w:space="0" w:color="FFFFFF" w:themeColor="background1"/>
            </w:tcBorders>
            <w:shd w:val="clear" w:color="auto" w:fill="943482"/>
          </w:tcPr>
          <w:p w14:paraId="33321646" w14:textId="2E6D8F05" w:rsidR="00510627" w:rsidRPr="00D80D52" w:rsidRDefault="00510627" w:rsidP="0097220A">
            <w:pPr>
              <w:bidi/>
              <w:rPr>
                <w:rFonts w:eastAsia="Calibri" w:cstheme="minorHAnsi"/>
                <w:b/>
                <w:bCs/>
                <w:color w:val="FFFFFF"/>
                <w:lang w:val="en-GB"/>
              </w:rPr>
            </w:pPr>
            <w:r w:rsidRPr="00D80D52">
              <w:rPr>
                <w:rFonts w:eastAsia="Calibri" w:cstheme="minorHAnsi"/>
                <w:b/>
                <w:bCs/>
                <w:color w:val="FFFFFF"/>
                <w:rtl/>
                <w:lang w:val="en-GB"/>
              </w:rPr>
              <w:t>النطاق</w:t>
            </w:r>
          </w:p>
        </w:tc>
        <w:tc>
          <w:tcPr>
            <w:tcW w:w="2700" w:type="dxa"/>
            <w:tcBorders>
              <w:left w:val="single" w:sz="4" w:space="0" w:color="FFFFFF" w:themeColor="background1"/>
              <w:right w:val="single" w:sz="4" w:space="0" w:color="FFFFFF" w:themeColor="background1"/>
            </w:tcBorders>
            <w:shd w:val="clear" w:color="auto" w:fill="943482"/>
          </w:tcPr>
          <w:p w14:paraId="238D3FEB" w14:textId="768272F5" w:rsidR="00510627" w:rsidRPr="00D80D52" w:rsidRDefault="00510627" w:rsidP="0097220A">
            <w:pPr>
              <w:bidi/>
              <w:rPr>
                <w:rFonts w:eastAsia="Calibri" w:cstheme="minorHAnsi"/>
                <w:b/>
                <w:bCs/>
                <w:color w:val="FFFFFF"/>
                <w:lang w:val="en-GB"/>
              </w:rPr>
            </w:pPr>
            <w:r w:rsidRPr="00D80D52">
              <w:rPr>
                <w:rFonts w:eastAsia="Calibri" w:cstheme="minorHAnsi"/>
                <w:b/>
                <w:bCs/>
                <w:color w:val="FFFFFF"/>
                <w:rtl/>
                <w:lang w:val="en-GB"/>
              </w:rPr>
              <w:t>الغرض</w:t>
            </w:r>
          </w:p>
        </w:tc>
        <w:tc>
          <w:tcPr>
            <w:tcW w:w="2610" w:type="dxa"/>
            <w:tcBorders>
              <w:left w:val="single" w:sz="4" w:space="0" w:color="FFFFFF" w:themeColor="background1"/>
            </w:tcBorders>
            <w:shd w:val="clear" w:color="auto" w:fill="943482"/>
          </w:tcPr>
          <w:p w14:paraId="7CD9CE98" w14:textId="4D7FD186" w:rsidR="00510627" w:rsidRPr="00D80D52" w:rsidRDefault="00510627" w:rsidP="0097220A">
            <w:pPr>
              <w:bidi/>
              <w:rPr>
                <w:rFonts w:eastAsia="Calibri" w:cstheme="minorHAnsi"/>
                <w:b/>
                <w:bCs/>
                <w:color w:val="FFFFFF"/>
                <w:lang w:val="en-GB"/>
              </w:rPr>
            </w:pPr>
            <w:r w:rsidRPr="00D80D52">
              <w:rPr>
                <w:rFonts w:eastAsia="Calibri" w:cstheme="minorHAnsi"/>
                <w:b/>
                <w:bCs/>
                <w:color w:val="FFFFFF"/>
                <w:rtl/>
                <w:lang w:val="en-GB"/>
              </w:rPr>
              <w:t>الاستخدام الأفضل؟</w:t>
            </w:r>
          </w:p>
        </w:tc>
        <w:tc>
          <w:tcPr>
            <w:tcW w:w="2250" w:type="dxa"/>
            <w:tcBorders>
              <w:left w:val="single" w:sz="4" w:space="0" w:color="FFFFFF" w:themeColor="background1"/>
            </w:tcBorders>
            <w:shd w:val="clear" w:color="auto" w:fill="943482"/>
          </w:tcPr>
          <w:p w14:paraId="4AD78E36" w14:textId="28216E2C" w:rsidR="00510627" w:rsidRPr="00D80D52" w:rsidRDefault="00510627" w:rsidP="0097220A">
            <w:pPr>
              <w:bidi/>
              <w:rPr>
                <w:rFonts w:eastAsia="Calibri" w:cstheme="minorHAnsi"/>
                <w:b/>
                <w:bCs/>
                <w:color w:val="FFFFFF"/>
                <w:lang w:val="en-GB"/>
              </w:rPr>
            </w:pPr>
            <w:r w:rsidRPr="00D80D52">
              <w:rPr>
                <w:rFonts w:eastAsia="Calibri" w:cstheme="minorHAnsi"/>
                <w:b/>
                <w:bCs/>
                <w:color w:val="FFFFFF"/>
                <w:rtl/>
                <w:lang w:val="en-GB"/>
              </w:rPr>
              <w:t xml:space="preserve">متطلبات اللغة </w:t>
            </w:r>
          </w:p>
        </w:tc>
        <w:tc>
          <w:tcPr>
            <w:tcW w:w="2520" w:type="dxa"/>
            <w:tcBorders>
              <w:left w:val="single" w:sz="4" w:space="0" w:color="FFFFFF" w:themeColor="background1"/>
            </w:tcBorders>
            <w:shd w:val="clear" w:color="auto" w:fill="943482"/>
          </w:tcPr>
          <w:p w14:paraId="4A778429" w14:textId="0D954E19" w:rsidR="00510627" w:rsidRPr="00D80D52" w:rsidRDefault="00510627" w:rsidP="0097220A">
            <w:pPr>
              <w:bidi/>
              <w:rPr>
                <w:rFonts w:eastAsia="Calibri" w:cstheme="minorHAnsi"/>
                <w:b/>
                <w:bCs/>
                <w:color w:val="FFFFFF"/>
                <w:lang w:val="en-GB"/>
              </w:rPr>
            </w:pPr>
            <w:r w:rsidRPr="00D80D52">
              <w:rPr>
                <w:rFonts w:eastAsia="Calibri" w:cstheme="minorHAnsi"/>
                <w:b/>
                <w:bCs/>
                <w:color w:val="FFFFFF"/>
                <w:rtl/>
                <w:lang w:val="en-GB"/>
              </w:rPr>
              <w:t xml:space="preserve">الدمج </w:t>
            </w:r>
          </w:p>
        </w:tc>
        <w:tc>
          <w:tcPr>
            <w:tcW w:w="1878" w:type="dxa"/>
            <w:tcBorders>
              <w:left w:val="single" w:sz="4" w:space="0" w:color="FFFFFF" w:themeColor="background1"/>
            </w:tcBorders>
            <w:shd w:val="clear" w:color="auto" w:fill="943482"/>
          </w:tcPr>
          <w:p w14:paraId="6615EADD" w14:textId="6C3B7B19" w:rsidR="00510627" w:rsidRPr="00D80D52" w:rsidRDefault="00510627" w:rsidP="0097220A">
            <w:pPr>
              <w:bidi/>
              <w:rPr>
                <w:rFonts w:eastAsia="Calibri" w:cstheme="minorHAnsi"/>
                <w:b/>
                <w:bCs/>
                <w:color w:val="FFFFFF"/>
                <w:lang w:val="en-GB"/>
              </w:rPr>
            </w:pPr>
            <w:r w:rsidRPr="00D80D52">
              <w:rPr>
                <w:rFonts w:eastAsia="Calibri" w:cstheme="minorHAnsi"/>
                <w:b/>
                <w:bCs/>
                <w:color w:val="FFFFFF"/>
                <w:rtl/>
                <w:lang w:val="en-GB"/>
              </w:rPr>
              <w:t>تحليل التغذية الراجعة</w:t>
            </w:r>
          </w:p>
        </w:tc>
        <w:tc>
          <w:tcPr>
            <w:tcW w:w="2172" w:type="dxa"/>
            <w:tcBorders>
              <w:left w:val="single" w:sz="4" w:space="0" w:color="FFFFFF" w:themeColor="background1"/>
            </w:tcBorders>
            <w:shd w:val="clear" w:color="auto" w:fill="943482"/>
          </w:tcPr>
          <w:p w14:paraId="71E0158C" w14:textId="5B82D68B" w:rsidR="00510627" w:rsidRPr="00D80D52" w:rsidRDefault="00510627" w:rsidP="0097220A">
            <w:pPr>
              <w:bidi/>
              <w:rPr>
                <w:rFonts w:eastAsia="Calibri" w:cstheme="minorHAnsi"/>
                <w:b/>
                <w:bCs/>
                <w:color w:val="FFFFFF"/>
                <w:lang w:val="en-GB"/>
              </w:rPr>
            </w:pPr>
            <w:r w:rsidRPr="00D80D52">
              <w:rPr>
                <w:rFonts w:eastAsia="Calibri" w:cstheme="minorHAnsi"/>
                <w:b/>
                <w:bCs/>
                <w:color w:val="FFFFFF"/>
                <w:rtl/>
                <w:lang w:val="en-GB"/>
              </w:rPr>
              <w:t xml:space="preserve">مشاركة التغذية الراجعة </w:t>
            </w:r>
          </w:p>
        </w:tc>
      </w:tr>
      <w:tr w:rsidR="00510627" w:rsidRPr="00D80D52" w14:paraId="76BD83C1" w14:textId="77777777" w:rsidTr="00510627">
        <w:trPr>
          <w:trHeight w:val="432"/>
        </w:trPr>
        <w:tc>
          <w:tcPr>
            <w:tcW w:w="1530" w:type="dxa"/>
            <w:shd w:val="clear" w:color="auto" w:fill="EADDEB"/>
          </w:tcPr>
          <w:p w14:paraId="00E4F3FC" w14:textId="7227C8E0" w:rsidR="00510627" w:rsidRPr="00D80D52" w:rsidRDefault="00510627" w:rsidP="0097220A">
            <w:pPr>
              <w:bidi/>
              <w:rPr>
                <w:rFonts w:eastAsia="Calibri" w:cstheme="minorHAnsi"/>
                <w:color w:val="000000"/>
                <w:sz w:val="20"/>
                <w:szCs w:val="20"/>
                <w:lang w:val="en-GB"/>
              </w:rPr>
            </w:pPr>
            <w:r w:rsidRPr="00D80D52">
              <w:rPr>
                <w:rFonts w:eastAsia="Calibri" w:cstheme="minorHAnsi"/>
                <w:b/>
                <w:color w:val="000000"/>
                <w:sz w:val="20"/>
                <w:szCs w:val="20"/>
                <w:rtl/>
                <w:lang w:val="en-GB"/>
              </w:rPr>
              <w:t xml:space="preserve">المستوى المحلي </w:t>
            </w:r>
            <w:r w:rsidRPr="00D80D52">
              <w:rPr>
                <w:rFonts w:eastAsia="Calibri" w:cstheme="minorHAnsi"/>
                <w:b/>
                <w:color w:val="000000"/>
                <w:sz w:val="20"/>
                <w:szCs w:val="20"/>
                <w:lang w:val="en-GB"/>
              </w:rPr>
              <w:t xml:space="preserve"> </w:t>
            </w:r>
          </w:p>
        </w:tc>
        <w:tc>
          <w:tcPr>
            <w:tcW w:w="2700" w:type="dxa"/>
            <w:shd w:val="clear" w:color="auto" w:fill="EADDEB"/>
          </w:tcPr>
          <w:p w14:paraId="6A70C86F" w14:textId="066D09E4" w:rsidR="009E45DA" w:rsidRPr="00D80D52" w:rsidRDefault="0097220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توجيه القرارات على المستوى المحلي والتي قد يتخذها الفريق المحلي بالتنسيق مع الجهات الفاعلة المحلية. </w:t>
            </w:r>
          </w:p>
        </w:tc>
        <w:tc>
          <w:tcPr>
            <w:tcW w:w="2610" w:type="dxa"/>
            <w:shd w:val="clear" w:color="auto" w:fill="EADDEB"/>
          </w:tcPr>
          <w:p w14:paraId="03C64BE1" w14:textId="56F4EC18" w:rsidR="009E45DA" w:rsidRPr="00D80D52" w:rsidRDefault="009E45D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في حال جُمعت التغذية الراجعة في منطقة جغرافية صغيرة وكانت تتعلق بعدد بسيط من المشاريع التي ينفذها فريق واحد. </w:t>
            </w:r>
          </w:p>
        </w:tc>
        <w:tc>
          <w:tcPr>
            <w:tcW w:w="2250" w:type="dxa"/>
            <w:shd w:val="clear" w:color="auto" w:fill="EADDEB"/>
          </w:tcPr>
          <w:p w14:paraId="6959B7D9" w14:textId="46AFBC2F" w:rsidR="009E45DA" w:rsidRPr="00D80D52" w:rsidRDefault="009E45D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يمكن توثيق بيانات التغذية الراجعة وتحليلها ومناقشتها باللغات المحلية. </w:t>
            </w:r>
          </w:p>
        </w:tc>
        <w:tc>
          <w:tcPr>
            <w:tcW w:w="2520" w:type="dxa"/>
            <w:shd w:val="clear" w:color="auto" w:fill="EADDEB"/>
          </w:tcPr>
          <w:p w14:paraId="189AEE9D" w14:textId="0C89050E" w:rsidR="00510627" w:rsidRPr="00D80D52" w:rsidRDefault="00510627" w:rsidP="0097220A">
            <w:pPr>
              <w:bidi/>
              <w:rPr>
                <w:rFonts w:eastAsia="Calibri" w:cstheme="minorHAnsi"/>
                <w:color w:val="000000"/>
                <w:sz w:val="20"/>
                <w:szCs w:val="20"/>
                <w:rtl/>
                <w:lang w:val="en-GB"/>
              </w:rPr>
            </w:pPr>
            <w:r w:rsidRPr="00D80D52">
              <w:rPr>
                <w:rFonts w:eastAsia="Calibri" w:cstheme="minorHAnsi"/>
                <w:color w:val="000000"/>
                <w:sz w:val="20"/>
                <w:szCs w:val="20"/>
                <w:lang w:val="en-GB"/>
              </w:rPr>
              <w:t>.</w:t>
            </w:r>
          </w:p>
          <w:p w14:paraId="31EEFA1E" w14:textId="70E0C0DA" w:rsidR="00330767" w:rsidRPr="00D80D52" w:rsidRDefault="0033076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يمكن دمج بيانات التغذية الراجعة شفهيًا أثناء الاجتماعات المنتظمة أو إضافتها إلى سجل أو قاعدة بيانات يديرها الفريق المحلي.</w:t>
            </w:r>
          </w:p>
        </w:tc>
        <w:tc>
          <w:tcPr>
            <w:tcW w:w="1878" w:type="dxa"/>
            <w:shd w:val="clear" w:color="auto" w:fill="EADDEB"/>
          </w:tcPr>
          <w:p w14:paraId="37FE1529" w14:textId="2530041E" w:rsidR="00330767" w:rsidRPr="00D80D52" w:rsidRDefault="0033076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يجتمع الفريق على نحو منتظم لمناقشة لمناقشة التغذية الراجعة الواردة وتحديد الإجراءات </w:t>
            </w:r>
          </w:p>
        </w:tc>
        <w:tc>
          <w:tcPr>
            <w:tcW w:w="2172" w:type="dxa"/>
            <w:shd w:val="clear" w:color="auto" w:fill="EADDEB"/>
          </w:tcPr>
          <w:p w14:paraId="24E6BED0" w14:textId="67550264" w:rsidR="00510627" w:rsidRPr="00D80D52" w:rsidRDefault="00510627" w:rsidP="0097220A">
            <w:pPr>
              <w:bidi/>
              <w:rPr>
                <w:rFonts w:eastAsia="Calibri" w:cstheme="minorHAnsi"/>
                <w:color w:val="000000"/>
                <w:sz w:val="20"/>
                <w:szCs w:val="20"/>
                <w:rtl/>
                <w:lang w:val="en-GB"/>
              </w:rPr>
            </w:pPr>
            <w:r w:rsidRPr="00D80D52">
              <w:rPr>
                <w:rFonts w:eastAsia="Calibri" w:cstheme="minorHAnsi"/>
                <w:color w:val="000000"/>
                <w:sz w:val="20"/>
                <w:szCs w:val="20"/>
                <w:lang w:val="en-GB"/>
              </w:rPr>
              <w:t>.</w:t>
            </w:r>
          </w:p>
          <w:p w14:paraId="297E8B94" w14:textId="18B4B373" w:rsidR="00510627" w:rsidRPr="00D80D52" w:rsidRDefault="0051062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تُشارك النتائج مع الفرق المحلية الأخرى وأصحاب المصحلة المحليين الآخرين بما في ذلك المجتمع. </w:t>
            </w:r>
          </w:p>
        </w:tc>
      </w:tr>
      <w:tr w:rsidR="00510627" w:rsidRPr="00D80D52" w14:paraId="697AD1AE" w14:textId="77777777" w:rsidTr="00510627">
        <w:trPr>
          <w:trHeight w:val="432"/>
        </w:trPr>
        <w:tc>
          <w:tcPr>
            <w:tcW w:w="1530" w:type="dxa"/>
            <w:shd w:val="clear" w:color="auto" w:fill="CAA7C8"/>
          </w:tcPr>
          <w:p w14:paraId="5F747EE5" w14:textId="60C005FE" w:rsidR="00510627" w:rsidRPr="00D80D52" w:rsidRDefault="00510627" w:rsidP="0097220A">
            <w:pPr>
              <w:bidi/>
              <w:rPr>
                <w:rFonts w:eastAsia="Calibri" w:cstheme="minorHAnsi"/>
                <w:color w:val="000000"/>
                <w:sz w:val="20"/>
                <w:szCs w:val="20"/>
                <w:lang w:val="en-GB"/>
              </w:rPr>
            </w:pPr>
            <w:r w:rsidRPr="00D80D52">
              <w:rPr>
                <w:rFonts w:eastAsia="Calibri" w:cstheme="minorHAnsi"/>
                <w:b/>
                <w:color w:val="000000"/>
                <w:sz w:val="20"/>
                <w:szCs w:val="20"/>
                <w:rtl/>
                <w:lang w:val="en-GB"/>
              </w:rPr>
              <w:t>مستوى المنطقة/الفرع</w:t>
            </w:r>
          </w:p>
        </w:tc>
        <w:tc>
          <w:tcPr>
            <w:tcW w:w="2700" w:type="dxa"/>
            <w:shd w:val="clear" w:color="auto" w:fill="CAA7C8"/>
          </w:tcPr>
          <w:p w14:paraId="20211764" w14:textId="42463365" w:rsidR="00510627" w:rsidRPr="00D80D52" w:rsidRDefault="00510627" w:rsidP="0097220A">
            <w:pPr>
              <w:bidi/>
              <w:rPr>
                <w:rFonts w:eastAsia="Calibri" w:cstheme="minorHAnsi"/>
                <w:color w:val="000000"/>
                <w:sz w:val="20"/>
                <w:szCs w:val="20"/>
                <w:rtl/>
                <w:lang w:val="en-GB"/>
              </w:rPr>
            </w:pPr>
            <w:r w:rsidRPr="00D80D52">
              <w:rPr>
                <w:rFonts w:eastAsia="Calibri" w:cstheme="minorHAnsi"/>
                <w:color w:val="000000"/>
                <w:sz w:val="20"/>
                <w:szCs w:val="20"/>
                <w:lang w:val="en-GB"/>
              </w:rPr>
              <w:t>.</w:t>
            </w:r>
          </w:p>
          <w:p w14:paraId="1334F3BB" w14:textId="6D71D005" w:rsidR="0097220A" w:rsidRPr="00D80D52" w:rsidRDefault="0097220A" w:rsidP="0097220A">
            <w:pPr>
              <w:bidi/>
              <w:rPr>
                <w:rFonts w:eastAsia="Calibri" w:cstheme="minorHAnsi"/>
                <w:color w:val="000000"/>
                <w:sz w:val="20"/>
                <w:szCs w:val="20"/>
                <w:rtl/>
                <w:lang w:val="en-US" w:bidi="ar-JO"/>
              </w:rPr>
            </w:pPr>
            <w:r w:rsidRPr="00D80D52">
              <w:rPr>
                <w:rFonts w:eastAsia="Calibri" w:cstheme="minorHAnsi"/>
                <w:color w:val="000000"/>
                <w:sz w:val="20"/>
                <w:szCs w:val="20"/>
                <w:rtl/>
                <w:lang w:val="en-US" w:bidi="ar-JO"/>
              </w:rPr>
              <w:t xml:space="preserve">توجيه القرارات على مستوى الفرع/المنطقة والتي قد يتم اتخاذها بالتنسيق مع الشركاء على مستوى الفرع. ودعم التحليل والإجراءات على المستوى المحلي. </w:t>
            </w:r>
          </w:p>
        </w:tc>
        <w:tc>
          <w:tcPr>
            <w:tcW w:w="2610" w:type="dxa"/>
            <w:shd w:val="clear" w:color="auto" w:fill="CAA7C8"/>
          </w:tcPr>
          <w:p w14:paraId="71770CEB" w14:textId="786B20E6" w:rsidR="009E45DA" w:rsidRPr="00D80D52" w:rsidRDefault="009E45D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في حال جُمعت التغذية الراجعة من خلال فرق متعددة تعمل في منطقة واحدة/فرع واحد، وكان يلزم تقديم نظرة عامة حول الوضع في المنطقة/الفرع. </w:t>
            </w:r>
          </w:p>
        </w:tc>
        <w:tc>
          <w:tcPr>
            <w:tcW w:w="2250" w:type="dxa"/>
            <w:shd w:val="clear" w:color="auto" w:fill="CAA7C8"/>
          </w:tcPr>
          <w:p w14:paraId="7F379837" w14:textId="2A4CAA20" w:rsidR="009E45DA" w:rsidRPr="00D80D52" w:rsidRDefault="009E45D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يمكن توثيق بيانات التغذية الراجعة وتحليلها ومناقشتها باللغات المحلية في حال كان الجميع يفهمها في عملية التحليل. </w:t>
            </w:r>
          </w:p>
        </w:tc>
        <w:tc>
          <w:tcPr>
            <w:tcW w:w="2520" w:type="dxa"/>
            <w:shd w:val="clear" w:color="auto" w:fill="CAA7C8"/>
          </w:tcPr>
          <w:p w14:paraId="12D77822" w14:textId="0CB6B2B7" w:rsidR="00330767" w:rsidRPr="00D80D52" w:rsidRDefault="0033076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تُنقل بيانات التغذية الراجعة على سجل إكسل أو يتم تحميلها على قاعدة بيانات مركزية في حال تم جمعها باستخدام أجهزة متنقلة. </w:t>
            </w:r>
          </w:p>
        </w:tc>
        <w:tc>
          <w:tcPr>
            <w:tcW w:w="1878" w:type="dxa"/>
            <w:shd w:val="clear" w:color="auto" w:fill="CAA7C8"/>
          </w:tcPr>
          <w:p w14:paraId="6F287775" w14:textId="0A4EB7F4" w:rsidR="00330767" w:rsidRPr="00D80D52" w:rsidRDefault="0033076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يتم ترميز وتحليل البيانات بشكل منهجي من خلال الفريق على مستوى المنطقة/الفرع. </w:t>
            </w:r>
          </w:p>
        </w:tc>
        <w:tc>
          <w:tcPr>
            <w:tcW w:w="2172" w:type="dxa"/>
            <w:shd w:val="clear" w:color="auto" w:fill="CAA7C8"/>
          </w:tcPr>
          <w:p w14:paraId="7E7BABCD" w14:textId="269B5B75" w:rsidR="00510627" w:rsidRPr="00D80D52" w:rsidRDefault="0033076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تُشارك النتائج وتُناقش مع جميع الفرق في المنطقة/الفرع، والشركاء على مستوى المنطقة لدعم وتنسيق العمل المشترك استجابةً للتغذية الراجعة. </w:t>
            </w:r>
          </w:p>
        </w:tc>
      </w:tr>
      <w:tr w:rsidR="00510627" w:rsidRPr="00D80D52" w14:paraId="06733D54" w14:textId="77777777" w:rsidTr="00510627">
        <w:trPr>
          <w:trHeight w:val="432"/>
        </w:trPr>
        <w:tc>
          <w:tcPr>
            <w:tcW w:w="1530" w:type="dxa"/>
            <w:shd w:val="clear" w:color="auto" w:fill="EADDEB"/>
          </w:tcPr>
          <w:p w14:paraId="27CAE3F1" w14:textId="1821FEFD" w:rsidR="00510627" w:rsidRPr="00D80D52" w:rsidRDefault="00510627" w:rsidP="0097220A">
            <w:pPr>
              <w:bidi/>
              <w:rPr>
                <w:rFonts w:eastAsia="Calibri" w:cstheme="minorHAnsi"/>
                <w:color w:val="000000"/>
                <w:sz w:val="20"/>
                <w:szCs w:val="20"/>
                <w:lang w:val="en-GB"/>
              </w:rPr>
            </w:pPr>
            <w:r w:rsidRPr="00D80D52">
              <w:rPr>
                <w:rFonts w:eastAsia="Calibri" w:cstheme="minorHAnsi"/>
                <w:b/>
                <w:color w:val="000000"/>
                <w:sz w:val="20"/>
                <w:szCs w:val="20"/>
                <w:rtl/>
                <w:lang w:val="en-GB"/>
              </w:rPr>
              <w:t>المستوى الوطني</w:t>
            </w:r>
          </w:p>
        </w:tc>
        <w:tc>
          <w:tcPr>
            <w:tcW w:w="2700" w:type="dxa"/>
            <w:shd w:val="clear" w:color="auto" w:fill="EADDEB"/>
          </w:tcPr>
          <w:p w14:paraId="2D976553" w14:textId="43E0AE35" w:rsidR="0097220A" w:rsidRPr="00D80D52" w:rsidRDefault="0097220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توجيه القرارات على المستوى الوطني بخصوص كامل المنظمة أو العملية، ودعم التحليل والإجراءات على مستويات أقرب إلى المجتمع. قد تتخذ الإجراءات بالتنسيق مع الشركاء على مستوى التنسيق الوطني. </w:t>
            </w:r>
          </w:p>
        </w:tc>
        <w:tc>
          <w:tcPr>
            <w:tcW w:w="2610" w:type="dxa"/>
            <w:shd w:val="clear" w:color="auto" w:fill="EADDEB"/>
          </w:tcPr>
          <w:p w14:paraId="2416F3A7" w14:textId="2CA794CB" w:rsidR="009E45DA" w:rsidRPr="00D80D52" w:rsidRDefault="009E45D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حال جُمعت التغذية الراجعة في عدة مناطق/فروع وكان يلزم تقديم نظرة عامة حول الوضع على المستوى القطري. </w:t>
            </w:r>
          </w:p>
        </w:tc>
        <w:tc>
          <w:tcPr>
            <w:tcW w:w="2250" w:type="dxa"/>
            <w:shd w:val="clear" w:color="auto" w:fill="EADDEB"/>
          </w:tcPr>
          <w:p w14:paraId="5A275B2D" w14:textId="25FDE74B" w:rsidR="00510627" w:rsidRPr="00D80D52" w:rsidRDefault="00510627" w:rsidP="0097220A">
            <w:pPr>
              <w:bidi/>
              <w:rPr>
                <w:rFonts w:eastAsia="Calibri" w:cstheme="minorHAnsi"/>
                <w:color w:val="000000"/>
                <w:sz w:val="20"/>
                <w:szCs w:val="20"/>
                <w:rtl/>
                <w:lang w:val="en-GB"/>
              </w:rPr>
            </w:pPr>
            <w:r w:rsidRPr="00D80D52">
              <w:rPr>
                <w:rFonts w:eastAsia="Calibri" w:cstheme="minorHAnsi"/>
                <w:color w:val="000000"/>
                <w:sz w:val="20"/>
                <w:szCs w:val="20"/>
                <w:lang w:val="en-GB"/>
              </w:rPr>
              <w:t>.</w:t>
            </w:r>
          </w:p>
          <w:p w14:paraId="1F8E009F" w14:textId="40F86821" w:rsidR="009E45DA" w:rsidRPr="00D80D52" w:rsidRDefault="009E45D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قد يلزم ترجمة بيانات التغذية الراجعة إلى اللغة المحلية في حال لم يكن الجميع يفهمها في مرحلة التحليل. </w:t>
            </w:r>
          </w:p>
        </w:tc>
        <w:tc>
          <w:tcPr>
            <w:tcW w:w="2520" w:type="dxa"/>
            <w:shd w:val="clear" w:color="auto" w:fill="EADDEB"/>
          </w:tcPr>
          <w:p w14:paraId="25BA9B05" w14:textId="7B2DEA12" w:rsidR="00330767" w:rsidRPr="00D80D52" w:rsidRDefault="00330767" w:rsidP="0097220A">
            <w:pPr>
              <w:bidi/>
              <w:rPr>
                <w:rFonts w:eastAsia="Calibri" w:cstheme="minorHAnsi"/>
                <w:color w:val="000000"/>
                <w:sz w:val="20"/>
                <w:szCs w:val="20"/>
                <w:rtl/>
                <w:lang w:val="en-US" w:bidi="ar-JO"/>
              </w:rPr>
            </w:pPr>
            <w:r w:rsidRPr="00D80D52">
              <w:rPr>
                <w:rFonts w:eastAsia="Calibri" w:cstheme="minorHAnsi"/>
                <w:color w:val="000000"/>
                <w:sz w:val="20"/>
                <w:szCs w:val="20"/>
                <w:rtl/>
                <w:lang w:val="en-US" w:bidi="ar-JO"/>
              </w:rPr>
              <w:t>تُنقل بيانات التغذية الراجعة إلى سجل إكسل</w:t>
            </w:r>
            <w:r w:rsidR="009E45DA" w:rsidRPr="00D80D52">
              <w:rPr>
                <w:rFonts w:eastAsia="Calibri" w:cstheme="minorHAnsi"/>
                <w:color w:val="000000"/>
                <w:sz w:val="20"/>
                <w:szCs w:val="20"/>
                <w:rtl/>
                <w:lang w:val="en-US" w:bidi="ar-JO"/>
              </w:rPr>
              <w:t>، ويشارك ذلك السجل مع الفريق على المستوى الوطني، أو يُحمل على قاعدة بيانات مركزية في حال تم جمعها باستخدام أجهزة متنقلة.</w:t>
            </w:r>
          </w:p>
        </w:tc>
        <w:tc>
          <w:tcPr>
            <w:tcW w:w="1878" w:type="dxa"/>
            <w:shd w:val="clear" w:color="auto" w:fill="EADDEB"/>
          </w:tcPr>
          <w:p w14:paraId="02D9DEB2" w14:textId="272B528B" w:rsidR="00510627" w:rsidRPr="00D80D52" w:rsidRDefault="0033076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يتم ترميز وتحليل البيانات بشكل منهجي من خلال الفريق على المستوى الوطني. </w:t>
            </w:r>
          </w:p>
        </w:tc>
        <w:tc>
          <w:tcPr>
            <w:tcW w:w="2172" w:type="dxa"/>
            <w:shd w:val="clear" w:color="auto" w:fill="EADDEB"/>
          </w:tcPr>
          <w:p w14:paraId="7B40F7E6" w14:textId="510145C5" w:rsidR="00330767" w:rsidRPr="00D80D52" w:rsidRDefault="0033076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تُشارك النتائج وتُناقش مع جميع الفرق على المستوى الوطني، والشركاء على المستوى الوطني لدعم وتنسيق العمل المشترك استجابةً للتغذية الراجعة.</w:t>
            </w:r>
          </w:p>
        </w:tc>
      </w:tr>
      <w:tr w:rsidR="00510627" w:rsidRPr="00D80D52" w14:paraId="3C2B662B" w14:textId="77777777" w:rsidTr="00510627">
        <w:trPr>
          <w:trHeight w:val="432"/>
        </w:trPr>
        <w:tc>
          <w:tcPr>
            <w:tcW w:w="1530" w:type="dxa"/>
            <w:shd w:val="clear" w:color="auto" w:fill="CAA7C8"/>
          </w:tcPr>
          <w:p w14:paraId="0E0472FF" w14:textId="0B33ACCB" w:rsidR="00510627" w:rsidRPr="00D80D52" w:rsidRDefault="00510627" w:rsidP="0097220A">
            <w:pPr>
              <w:bidi/>
              <w:rPr>
                <w:rFonts w:eastAsia="Calibri" w:cstheme="minorHAnsi"/>
                <w:color w:val="000000"/>
                <w:sz w:val="20"/>
                <w:szCs w:val="20"/>
                <w:lang w:val="en-GB"/>
              </w:rPr>
            </w:pPr>
            <w:r w:rsidRPr="00D80D52">
              <w:rPr>
                <w:rFonts w:eastAsia="Calibri" w:cstheme="minorHAnsi"/>
                <w:b/>
                <w:color w:val="000000"/>
                <w:sz w:val="20"/>
                <w:szCs w:val="20"/>
                <w:rtl/>
                <w:lang w:val="en-GB"/>
              </w:rPr>
              <w:t>المستوى المشترك بين الوكالات أو المستوى الإقليمي</w:t>
            </w:r>
          </w:p>
        </w:tc>
        <w:tc>
          <w:tcPr>
            <w:tcW w:w="2700" w:type="dxa"/>
            <w:shd w:val="clear" w:color="auto" w:fill="CAA7C8"/>
          </w:tcPr>
          <w:p w14:paraId="5BBC4BF2" w14:textId="17A3452B" w:rsidR="0097220A" w:rsidRPr="00D80D52" w:rsidRDefault="0097220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توجه القرارات المشتركة بين الوكالات و/أو القرارات الإقليمية. قد تتخذ الإجراءات بالتنسيق مع الشركاء على مستوى التنسيق الوطني والإقليمي.</w:t>
            </w:r>
          </w:p>
        </w:tc>
        <w:tc>
          <w:tcPr>
            <w:tcW w:w="2610" w:type="dxa"/>
            <w:shd w:val="clear" w:color="auto" w:fill="CAA7C8"/>
          </w:tcPr>
          <w:p w14:paraId="3403ED1D" w14:textId="03DBDA24" w:rsidR="00510627" w:rsidRPr="00D80D52" w:rsidRDefault="00510627" w:rsidP="0097220A">
            <w:pPr>
              <w:bidi/>
              <w:rPr>
                <w:rFonts w:eastAsia="Calibri" w:cstheme="minorHAnsi"/>
                <w:color w:val="000000"/>
                <w:sz w:val="20"/>
                <w:szCs w:val="20"/>
                <w:rtl/>
                <w:lang w:val="en-GB"/>
              </w:rPr>
            </w:pPr>
            <w:r w:rsidRPr="00D80D52">
              <w:rPr>
                <w:rFonts w:eastAsia="Calibri" w:cstheme="minorHAnsi"/>
                <w:color w:val="000000"/>
                <w:sz w:val="20"/>
                <w:szCs w:val="20"/>
                <w:lang w:val="en-GB"/>
              </w:rPr>
              <w:t>.</w:t>
            </w:r>
          </w:p>
          <w:p w14:paraId="61BA5C4D" w14:textId="7FC00063" w:rsidR="009E45DA" w:rsidRPr="00D80D52" w:rsidRDefault="009E45D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في حال جُمعت التغذية الراجعة في عدة بلدان و/أو من خلال عدة منظمات. يكون ذلك ذي صلة على وجه التحديد أثناء الكوارث واسعة النطاق مثل الأوبئة أو الكوارث الطبيعية التي تؤثر على عدة بلدان. </w:t>
            </w:r>
          </w:p>
        </w:tc>
        <w:tc>
          <w:tcPr>
            <w:tcW w:w="2250" w:type="dxa"/>
            <w:shd w:val="clear" w:color="auto" w:fill="CAA7C8"/>
          </w:tcPr>
          <w:p w14:paraId="4573EA90" w14:textId="20FEE32F" w:rsidR="009E45DA" w:rsidRPr="00D80D52" w:rsidRDefault="009E45D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يلزم ترجمة بيانات التغذية الراجعة إلى اللغة المحلية  المستخدمة على المستوى الوطني أو الإقليمي في حال لم يكن الجميع يفهمها في مرحلة التحليل.</w:t>
            </w:r>
          </w:p>
        </w:tc>
        <w:tc>
          <w:tcPr>
            <w:tcW w:w="2520" w:type="dxa"/>
            <w:shd w:val="clear" w:color="auto" w:fill="CAA7C8"/>
          </w:tcPr>
          <w:p w14:paraId="4290F227" w14:textId="4D8AD23E" w:rsidR="00510627" w:rsidRPr="00D80D52" w:rsidRDefault="009E45DA"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تُنقل بيانات التغذية الراجعة على سجل إكسل أو يتم تحميلها على قاعدة بيانات مركزية في حال تم جمعها باستخدام أجهزة متنقلة. </w:t>
            </w:r>
          </w:p>
        </w:tc>
        <w:tc>
          <w:tcPr>
            <w:tcW w:w="1878" w:type="dxa"/>
            <w:shd w:val="clear" w:color="auto" w:fill="CAA7C8"/>
          </w:tcPr>
          <w:p w14:paraId="4DA6A30D" w14:textId="3A6099A4" w:rsidR="00330767" w:rsidRPr="00D80D52" w:rsidRDefault="0033076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يتم ترميز وتحليل البيانات بشكل منهجي من خلال الفريق على المستوى الوطني و/أو من خلال فريق مكلف بتحليل الاستجابة على مستوى واسع. </w:t>
            </w:r>
          </w:p>
        </w:tc>
        <w:tc>
          <w:tcPr>
            <w:tcW w:w="2172" w:type="dxa"/>
            <w:shd w:val="clear" w:color="auto" w:fill="CAA7C8"/>
          </w:tcPr>
          <w:p w14:paraId="0A7E39D2" w14:textId="77777777" w:rsidR="00330767" w:rsidRPr="00D80D52" w:rsidRDefault="00330767" w:rsidP="0097220A">
            <w:pPr>
              <w:bidi/>
              <w:rPr>
                <w:rFonts w:eastAsia="Calibri" w:cstheme="minorHAnsi"/>
                <w:color w:val="000000"/>
                <w:sz w:val="20"/>
                <w:szCs w:val="20"/>
                <w:rtl/>
                <w:lang w:val="en-GB"/>
              </w:rPr>
            </w:pPr>
          </w:p>
          <w:p w14:paraId="0CC9FE3F" w14:textId="4E03B30B" w:rsidR="00330767" w:rsidRPr="00D80D52" w:rsidRDefault="00330767" w:rsidP="0097220A">
            <w:pPr>
              <w:bidi/>
              <w:rPr>
                <w:rFonts w:eastAsia="Calibri" w:cstheme="minorHAnsi"/>
                <w:color w:val="000000"/>
                <w:sz w:val="20"/>
                <w:szCs w:val="20"/>
                <w:lang w:val="en-GB"/>
              </w:rPr>
            </w:pPr>
            <w:r w:rsidRPr="00D80D52">
              <w:rPr>
                <w:rFonts w:eastAsia="Calibri" w:cstheme="minorHAnsi"/>
                <w:color w:val="000000"/>
                <w:sz w:val="20"/>
                <w:szCs w:val="20"/>
                <w:rtl/>
                <w:lang w:val="en-GB"/>
              </w:rPr>
              <w:t xml:space="preserve">تُشارك النتائج وتُناقش في الاجتماعات التنسيقية المشتركة بين الوكالات </w:t>
            </w:r>
          </w:p>
        </w:tc>
      </w:tr>
    </w:tbl>
    <w:p w14:paraId="52C055F3" w14:textId="77777777" w:rsidR="00510627" w:rsidRPr="00D80D52" w:rsidRDefault="00510627" w:rsidP="00510627">
      <w:pPr>
        <w:pStyle w:val="BodyCopy"/>
        <w:bidi/>
        <w:ind w:left="720"/>
        <w:rPr>
          <w:rFonts w:asciiTheme="minorHAnsi" w:hAnsiTheme="minorHAnsi" w:cstheme="minorHAnsi"/>
          <w:sz w:val="24"/>
          <w:szCs w:val="24"/>
          <w:lang w:val="fr-FR"/>
        </w:rPr>
      </w:pPr>
    </w:p>
    <w:sectPr w:rsidR="00510627" w:rsidRPr="00D80D52" w:rsidSect="00992418">
      <w:headerReference w:type="first" r:id="rId7"/>
      <w:pgSz w:w="16838" w:h="11906" w:orient="landscape"/>
      <w:pgMar w:top="991" w:right="1683" w:bottom="992" w:left="1417"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A766D" w14:textId="77777777" w:rsidR="00D6334C" w:rsidRDefault="00D6334C" w:rsidP="00E20A25">
      <w:r>
        <w:separator/>
      </w:r>
    </w:p>
  </w:endnote>
  <w:endnote w:type="continuationSeparator" w:id="0">
    <w:p w14:paraId="34E4E460" w14:textId="77777777" w:rsidR="00D6334C" w:rsidRDefault="00D6334C" w:rsidP="00E20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B32D6" w14:textId="77777777" w:rsidR="00D6334C" w:rsidRDefault="00D6334C" w:rsidP="00E20A25">
      <w:r>
        <w:separator/>
      </w:r>
    </w:p>
  </w:footnote>
  <w:footnote w:type="continuationSeparator" w:id="0">
    <w:p w14:paraId="2D1F9830" w14:textId="77777777" w:rsidR="00D6334C" w:rsidRDefault="00D6334C" w:rsidP="00E20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24DD0" w14:textId="486CDABB" w:rsidR="00775854" w:rsidRPr="00D80D52" w:rsidRDefault="004A36AF" w:rsidP="00966F03">
    <w:pPr>
      <w:pStyle w:val="TOOLTITLE"/>
      <w:bidi/>
      <w:ind w:right="76" w:firstLine="0"/>
      <w:jc w:val="center"/>
      <w:rPr>
        <w:rFonts w:asciiTheme="minorHAnsi" w:hAnsiTheme="minorHAnsi" w:cstheme="minorHAnsi"/>
        <w:lang w:val="en-US"/>
      </w:rPr>
    </w:pPr>
    <w:r w:rsidRPr="00D80D52">
      <w:rPr>
        <w:rFonts w:asciiTheme="minorHAnsi" w:hAnsiTheme="minorHAnsi" w:cstheme="minorHAnsi"/>
        <w:lang w:val="en-US"/>
      </w:rPr>
      <w:drawing>
        <wp:anchor distT="0" distB="0" distL="114300" distR="114300" simplePos="0" relativeHeight="251659264" behindDoc="1" locked="0" layoutInCell="1" allowOverlap="1" wp14:anchorId="66C01C39" wp14:editId="5FDD884C">
          <wp:simplePos x="0" y="0"/>
          <wp:positionH relativeFrom="page">
            <wp:posOffset>-3209925</wp:posOffset>
          </wp:positionH>
          <wp:positionV relativeFrom="page">
            <wp:posOffset>9525</wp:posOffset>
          </wp:positionV>
          <wp:extent cx="13735050" cy="893056"/>
          <wp:effectExtent l="0" t="0" r="0" b="2540"/>
          <wp:wrapNone/>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3731116" cy="892800"/>
                  </a:xfrm>
                  <a:prstGeom prst="rect">
                    <a:avLst/>
                  </a:prstGeom>
                </pic:spPr>
              </pic:pic>
            </a:graphicData>
          </a:graphic>
          <wp14:sizeRelH relativeFrom="margin">
            <wp14:pctWidth>0</wp14:pctWidth>
          </wp14:sizeRelH>
          <wp14:sizeRelV relativeFrom="margin">
            <wp14:pctHeight>0</wp14:pctHeight>
          </wp14:sizeRelV>
        </wp:anchor>
      </w:drawing>
    </w:r>
    <w:r w:rsidR="00992418" w:rsidRPr="00D80D52">
      <w:rPr>
        <w:rFonts w:asciiTheme="minorHAnsi" w:hAnsiTheme="minorHAnsi" w:cstheme="minorHAnsi"/>
        <w:rtl/>
        <w:lang w:val="en-US" w:bidi="ar-JO"/>
      </w:rPr>
      <w:t>أداة التغذية الراجعة 2: تحديد نطاق آلية التغذية الراجعة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 w15:restartNumberingAfterBreak="0">
    <w:nsid w:val="268B6432"/>
    <w:multiLevelType w:val="hybridMultilevel"/>
    <w:tmpl w:val="BBD672FA"/>
    <w:lvl w:ilvl="0" w:tplc="A250676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B47BA9"/>
    <w:multiLevelType w:val="multilevel"/>
    <w:tmpl w:val="60425C0E"/>
    <w:lvl w:ilvl="0">
      <w:start w:val="1"/>
      <w:numFmt w:val="lowerLetter"/>
      <w:lvlText w:val="%1)"/>
      <w:lvlJc w:val="left"/>
      <w:pPr>
        <w:ind w:left="720" w:hanging="360"/>
      </w:pPr>
      <w:rPr>
        <w:rFonts w:ascii="Helvetica Neue" w:hAnsi="Helvetica Neue" w:cs="Helvetica Neue" w:hint="default"/>
        <w:b/>
        <w:bCs/>
        <w:i w:val="0"/>
        <w:iCs w:val="0"/>
        <w:color w:val="943482"/>
      </w:rPr>
    </w:lvl>
    <w:lvl w:ilvl="1">
      <w:start w:val="1"/>
      <w:numFmt w:val="lowerLetter"/>
      <w:lvlText w:val="%2)"/>
      <w:lvlJc w:val="left"/>
      <w:pPr>
        <w:ind w:left="1440" w:hanging="360"/>
      </w:pPr>
      <w:rPr>
        <w:rFonts w:ascii="Helvetica Neue" w:hAnsi="Helvetica Neue" w:cs="Helvetica Neue" w:hint="default"/>
        <w:b/>
        <w:bCs/>
        <w:i w:val="0"/>
        <w:iCs w:val="0"/>
        <w:color w:val="94348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7FF70F1"/>
    <w:multiLevelType w:val="hybridMultilevel"/>
    <w:tmpl w:val="939080A4"/>
    <w:lvl w:ilvl="0" w:tplc="F8740E2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F90AF8"/>
    <w:multiLevelType w:val="multilevel"/>
    <w:tmpl w:val="09C2A2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8B65AB2"/>
    <w:multiLevelType w:val="hybridMultilevel"/>
    <w:tmpl w:val="3788D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1652197">
    <w:abstractNumId w:val="5"/>
  </w:num>
  <w:num w:numId="2" w16cid:durableId="1657370036">
    <w:abstractNumId w:val="3"/>
  </w:num>
  <w:num w:numId="3" w16cid:durableId="1215003512">
    <w:abstractNumId w:val="0"/>
  </w:num>
  <w:num w:numId="4" w16cid:durableId="547884235">
    <w:abstractNumId w:val="6"/>
  </w:num>
  <w:num w:numId="5" w16cid:durableId="1091655970">
    <w:abstractNumId w:val="2"/>
  </w:num>
  <w:num w:numId="6" w16cid:durableId="1587615980">
    <w:abstractNumId w:val="1"/>
  </w:num>
  <w:num w:numId="7" w16cid:durableId="172502872">
    <w:abstractNumId w:val="5"/>
  </w:num>
  <w:num w:numId="8" w16cid:durableId="1604142480">
    <w:abstractNumId w:val="5"/>
  </w:num>
  <w:num w:numId="9" w16cid:durableId="658075059">
    <w:abstractNumId w:val="7"/>
  </w:num>
  <w:num w:numId="10" w16cid:durableId="6026133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3880"/>
    <w:rsid w:val="000313E5"/>
    <w:rsid w:val="00060FC2"/>
    <w:rsid w:val="000B7698"/>
    <w:rsid w:val="000C464F"/>
    <w:rsid w:val="000F7353"/>
    <w:rsid w:val="00123367"/>
    <w:rsid w:val="001648A9"/>
    <w:rsid w:val="00166C09"/>
    <w:rsid w:val="0016705A"/>
    <w:rsid w:val="001D1D2E"/>
    <w:rsid w:val="001F3118"/>
    <w:rsid w:val="00207FA7"/>
    <w:rsid w:val="00224C9D"/>
    <w:rsid w:val="0023547C"/>
    <w:rsid w:val="00281202"/>
    <w:rsid w:val="002A16E8"/>
    <w:rsid w:val="00301FD8"/>
    <w:rsid w:val="00305F99"/>
    <w:rsid w:val="00313349"/>
    <w:rsid w:val="00330767"/>
    <w:rsid w:val="00346443"/>
    <w:rsid w:val="0035254C"/>
    <w:rsid w:val="003767A5"/>
    <w:rsid w:val="00401300"/>
    <w:rsid w:val="00444856"/>
    <w:rsid w:val="004A36AF"/>
    <w:rsid w:val="004C394B"/>
    <w:rsid w:val="00510627"/>
    <w:rsid w:val="0052019A"/>
    <w:rsid w:val="00525554"/>
    <w:rsid w:val="00555558"/>
    <w:rsid w:val="00584FEE"/>
    <w:rsid w:val="005B6EB7"/>
    <w:rsid w:val="00611019"/>
    <w:rsid w:val="00611228"/>
    <w:rsid w:val="006419C2"/>
    <w:rsid w:val="006931B7"/>
    <w:rsid w:val="006B6A01"/>
    <w:rsid w:val="006C2322"/>
    <w:rsid w:val="006C2DA0"/>
    <w:rsid w:val="006C2E16"/>
    <w:rsid w:val="00755569"/>
    <w:rsid w:val="00771DAE"/>
    <w:rsid w:val="00775854"/>
    <w:rsid w:val="0078702F"/>
    <w:rsid w:val="00792941"/>
    <w:rsid w:val="007B63A0"/>
    <w:rsid w:val="007E547B"/>
    <w:rsid w:val="00802362"/>
    <w:rsid w:val="00813C43"/>
    <w:rsid w:val="00816733"/>
    <w:rsid w:val="008443AF"/>
    <w:rsid w:val="00854AC7"/>
    <w:rsid w:val="00857C58"/>
    <w:rsid w:val="008950C9"/>
    <w:rsid w:val="00966F03"/>
    <w:rsid w:val="0097220A"/>
    <w:rsid w:val="00973D22"/>
    <w:rsid w:val="00990881"/>
    <w:rsid w:val="00992418"/>
    <w:rsid w:val="009B4F8E"/>
    <w:rsid w:val="009C1021"/>
    <w:rsid w:val="009E45DA"/>
    <w:rsid w:val="009F0786"/>
    <w:rsid w:val="00A047B1"/>
    <w:rsid w:val="00A46AB5"/>
    <w:rsid w:val="00A577CF"/>
    <w:rsid w:val="00A67314"/>
    <w:rsid w:val="00A74C99"/>
    <w:rsid w:val="00A76248"/>
    <w:rsid w:val="00AA0AAE"/>
    <w:rsid w:val="00AD1783"/>
    <w:rsid w:val="00B13EC5"/>
    <w:rsid w:val="00B21640"/>
    <w:rsid w:val="00B46030"/>
    <w:rsid w:val="00B67B30"/>
    <w:rsid w:val="00B7604B"/>
    <w:rsid w:val="00BD696A"/>
    <w:rsid w:val="00BD699A"/>
    <w:rsid w:val="00BF3DCE"/>
    <w:rsid w:val="00C01DDD"/>
    <w:rsid w:val="00C02D39"/>
    <w:rsid w:val="00C03C9E"/>
    <w:rsid w:val="00C52CDF"/>
    <w:rsid w:val="00C92BB6"/>
    <w:rsid w:val="00CF3640"/>
    <w:rsid w:val="00D16F21"/>
    <w:rsid w:val="00D45D14"/>
    <w:rsid w:val="00D54D52"/>
    <w:rsid w:val="00D6334C"/>
    <w:rsid w:val="00D75E7B"/>
    <w:rsid w:val="00D80D52"/>
    <w:rsid w:val="00D86F45"/>
    <w:rsid w:val="00DE07BC"/>
    <w:rsid w:val="00E14225"/>
    <w:rsid w:val="00E20A25"/>
    <w:rsid w:val="00E50D41"/>
    <w:rsid w:val="00E64E98"/>
    <w:rsid w:val="00E825E6"/>
    <w:rsid w:val="00EB2D47"/>
    <w:rsid w:val="00EC2620"/>
    <w:rsid w:val="00EF13F1"/>
    <w:rsid w:val="00F025A8"/>
    <w:rsid w:val="00F03880"/>
    <w:rsid w:val="00F354F8"/>
    <w:rsid w:val="00F35BA7"/>
    <w:rsid w:val="00F362C5"/>
    <w:rsid w:val="00FE780D"/>
    <w:rsid w:val="00FF70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B24CBE"/>
  <w15:docId w15:val="{AA5967CE-DAB8-4AC9-80A7-57EB0A231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A25"/>
    <w:pPr>
      <w:spacing w:after="0" w:line="240" w:lineRule="auto"/>
    </w:pPr>
    <w:rPr>
      <w:kern w:val="0"/>
      <w:sz w:val="24"/>
      <w:szCs w:val="24"/>
      <w:lang w:val="fr-FR"/>
      <w14:ligatures w14:val="none"/>
    </w:rPr>
  </w:style>
  <w:style w:type="paragraph" w:styleId="Heading1">
    <w:name w:val="heading 1"/>
    <w:next w:val="Normal"/>
    <w:link w:val="Heading1Char"/>
    <w:uiPriority w:val="9"/>
    <w:qFormat/>
    <w:rsid w:val="00E20A25"/>
    <w:pPr>
      <w:keepNext/>
      <w:keepLines/>
      <w:spacing w:before="240" w:after="0" w:line="240" w:lineRule="auto"/>
      <w:outlineLvl w:val="0"/>
    </w:pPr>
    <w:rPr>
      <w:rFonts w:ascii="Helvetica Neue" w:eastAsiaTheme="majorEastAsia" w:hAnsi="Helvetica Neue" w:cstheme="majorBidi"/>
      <w:b/>
      <w:bCs/>
      <w:caps/>
      <w:color w:val="204669"/>
      <w:kern w:val="0"/>
      <w:sz w:val="32"/>
      <w:szCs w:val="32"/>
      <w:u w:val="single"/>
      <w:lang w:val="fr-F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0A25"/>
    <w:rPr>
      <w:rFonts w:ascii="Helvetica Neue" w:eastAsiaTheme="majorEastAsia" w:hAnsi="Helvetica Neue" w:cstheme="majorBidi"/>
      <w:b/>
      <w:bCs/>
      <w:caps/>
      <w:color w:val="204669"/>
      <w:kern w:val="0"/>
      <w:sz w:val="32"/>
      <w:szCs w:val="32"/>
      <w:u w:val="single"/>
      <w:lang w:val="fr-FR"/>
      <w14:ligatures w14:val="none"/>
    </w:rPr>
  </w:style>
  <w:style w:type="paragraph" w:styleId="Header">
    <w:name w:val="header"/>
    <w:basedOn w:val="Normal"/>
    <w:link w:val="HeaderChar"/>
    <w:uiPriority w:val="99"/>
    <w:unhideWhenUsed/>
    <w:rsid w:val="00E20A25"/>
    <w:pPr>
      <w:tabs>
        <w:tab w:val="center" w:pos="4536"/>
        <w:tab w:val="right" w:pos="9072"/>
      </w:tabs>
    </w:pPr>
  </w:style>
  <w:style w:type="character" w:customStyle="1" w:styleId="HeaderChar">
    <w:name w:val="Header Char"/>
    <w:basedOn w:val="DefaultParagraphFont"/>
    <w:link w:val="Header"/>
    <w:uiPriority w:val="99"/>
    <w:rsid w:val="00E20A25"/>
    <w:rPr>
      <w:kern w:val="0"/>
      <w:sz w:val="24"/>
      <w:szCs w:val="24"/>
      <w:lang w:val="fr-FR"/>
      <w14:ligatures w14:val="none"/>
    </w:rPr>
  </w:style>
  <w:style w:type="paragraph" w:styleId="Footer">
    <w:name w:val="footer"/>
    <w:basedOn w:val="Normal"/>
    <w:link w:val="FooterChar"/>
    <w:uiPriority w:val="99"/>
    <w:unhideWhenUsed/>
    <w:rsid w:val="00E20A25"/>
    <w:pPr>
      <w:tabs>
        <w:tab w:val="center" w:pos="4536"/>
        <w:tab w:val="right" w:pos="9072"/>
      </w:tabs>
    </w:pPr>
  </w:style>
  <w:style w:type="character" w:customStyle="1" w:styleId="FooterChar">
    <w:name w:val="Footer Char"/>
    <w:basedOn w:val="DefaultParagraphFont"/>
    <w:link w:val="Footer"/>
    <w:uiPriority w:val="99"/>
    <w:rsid w:val="00E20A25"/>
    <w:rPr>
      <w:kern w:val="0"/>
      <w:sz w:val="24"/>
      <w:szCs w:val="24"/>
      <w:lang w:val="fr-FR"/>
      <w14:ligatures w14:val="none"/>
    </w:rPr>
  </w:style>
  <w:style w:type="paragraph" w:customStyle="1" w:styleId="TOOLTITLE">
    <w:name w:val="TOOL TITLE"/>
    <w:qFormat/>
    <w:rsid w:val="00E20A25"/>
    <w:pPr>
      <w:adjustRightInd w:val="0"/>
      <w:snapToGrid w:val="0"/>
      <w:spacing w:after="0" w:line="240" w:lineRule="auto"/>
      <w:ind w:hanging="709"/>
    </w:pPr>
    <w:rPr>
      <w:rFonts w:ascii="Arial" w:hAnsi="Arial" w:cs="Arial"/>
      <w:b/>
      <w:bCs/>
      <w:noProof/>
      <w:color w:val="FFFFFF" w:themeColor="background1"/>
      <w:kern w:val="0"/>
      <w:sz w:val="36"/>
      <w:szCs w:val="36"/>
      <w:lang w:val="fr-FR"/>
      <w14:ligatures w14:val="none"/>
    </w:rPr>
  </w:style>
  <w:style w:type="character" w:styleId="PageNumber">
    <w:name w:val="page number"/>
    <w:basedOn w:val="DefaultParagraphFont"/>
    <w:uiPriority w:val="99"/>
    <w:semiHidden/>
    <w:unhideWhenUsed/>
    <w:rsid w:val="00E20A25"/>
    <w:rPr>
      <w:rFonts w:ascii="Helvetica Neue Medium" w:hAnsi="Helvetica Neue Medium"/>
      <w:b w:val="0"/>
      <w:i w:val="0"/>
    </w:rPr>
  </w:style>
  <w:style w:type="paragraph" w:customStyle="1" w:styleId="H2">
    <w:name w:val="H2"/>
    <w:qFormat/>
    <w:rsid w:val="00E20A25"/>
    <w:pPr>
      <w:spacing w:after="0" w:line="240" w:lineRule="auto"/>
    </w:pPr>
    <w:rPr>
      <w:rFonts w:ascii="Helvetica Neue Medium" w:hAnsi="Helvetica Neue Medium"/>
      <w:color w:val="873174"/>
      <w:kern w:val="0"/>
      <w:sz w:val="24"/>
      <w:szCs w:val="24"/>
      <w14:ligatures w14:val="none"/>
    </w:rPr>
  </w:style>
  <w:style w:type="paragraph" w:customStyle="1" w:styleId="H1">
    <w:name w:val="H1"/>
    <w:qFormat/>
    <w:rsid w:val="00E20A25"/>
    <w:pPr>
      <w:spacing w:after="0" w:line="240" w:lineRule="auto"/>
    </w:pPr>
    <w:rPr>
      <w:rFonts w:ascii="Helvetica Neue" w:eastAsiaTheme="majorEastAsia" w:hAnsi="Helvetica Neue" w:cstheme="majorBidi"/>
      <w:b/>
      <w:bCs/>
      <w:caps/>
      <w:color w:val="204669"/>
      <w:kern w:val="0"/>
      <w:sz w:val="32"/>
      <w:szCs w:val="32"/>
      <w:u w:val="single"/>
      <w14:ligatures w14:val="none"/>
    </w:rPr>
  </w:style>
  <w:style w:type="paragraph" w:customStyle="1" w:styleId="BodyCopy">
    <w:name w:val="Body Copy"/>
    <w:qFormat/>
    <w:rsid w:val="00E20A25"/>
    <w:pPr>
      <w:spacing w:after="0" w:line="240" w:lineRule="auto"/>
      <w:jc w:val="both"/>
    </w:pPr>
    <w:rPr>
      <w:rFonts w:ascii="Helvetica Neue Light" w:hAnsi="Helvetica Neue Light"/>
      <w:color w:val="000000" w:themeColor="text1"/>
      <w:kern w:val="0"/>
      <w:sz w:val="20"/>
      <w:szCs w:val="20"/>
      <w14:ligatures w14:val="none"/>
    </w:rPr>
  </w:style>
  <w:style w:type="paragraph" w:customStyle="1" w:styleId="BulletPoint">
    <w:name w:val="Bullet Point"/>
    <w:basedOn w:val="BodyCopy"/>
    <w:qFormat/>
    <w:rsid w:val="00E20A25"/>
    <w:pPr>
      <w:numPr>
        <w:numId w:val="1"/>
      </w:numPr>
    </w:pPr>
  </w:style>
  <w:style w:type="character" w:customStyle="1" w:styleId="Bold">
    <w:name w:val="Bold"/>
    <w:basedOn w:val="DefaultParagraphFont"/>
    <w:uiPriority w:val="1"/>
    <w:qFormat/>
    <w:rsid w:val="00E20A25"/>
    <w:rPr>
      <w:rFonts w:ascii="Helvetica Neue" w:hAnsi="Helvetica Neue"/>
      <w:b/>
      <w:bCs/>
    </w:rPr>
  </w:style>
  <w:style w:type="paragraph" w:customStyle="1" w:styleId="BulletNumbers">
    <w:name w:val="Bullet Numbers"/>
    <w:qFormat/>
    <w:rsid w:val="00E20A25"/>
    <w:pPr>
      <w:numPr>
        <w:numId w:val="2"/>
      </w:numPr>
      <w:spacing w:after="0" w:line="240" w:lineRule="auto"/>
    </w:pPr>
    <w:rPr>
      <w:rFonts w:ascii="Helvetica Neue Light" w:hAnsi="Helvetica Neue Light"/>
      <w:color w:val="000000" w:themeColor="text1"/>
      <w:kern w:val="0"/>
      <w:sz w:val="20"/>
      <w:szCs w:val="20"/>
      <w14:ligatures w14:val="none"/>
    </w:rPr>
  </w:style>
  <w:style w:type="character" w:styleId="FootnoteReference">
    <w:name w:val="footnote reference"/>
    <w:basedOn w:val="DefaultParagraphFont"/>
    <w:uiPriority w:val="99"/>
    <w:semiHidden/>
    <w:unhideWhenUsed/>
    <w:rsid w:val="00E20A25"/>
    <w:rPr>
      <w:vertAlign w:val="superscript"/>
    </w:rPr>
  </w:style>
  <w:style w:type="paragraph" w:styleId="FootnoteText">
    <w:name w:val="footnote text"/>
    <w:aliases w:val="Footnotes"/>
    <w:link w:val="FootnoteTextChar"/>
    <w:uiPriority w:val="99"/>
    <w:unhideWhenUsed/>
    <w:rsid w:val="00E20A25"/>
    <w:pPr>
      <w:pBdr>
        <w:top w:val="nil"/>
        <w:left w:val="nil"/>
        <w:bottom w:val="nil"/>
        <w:right w:val="nil"/>
        <w:between w:val="nil"/>
      </w:pBdr>
      <w:spacing w:after="0" w:line="240" w:lineRule="auto"/>
    </w:pPr>
    <w:rPr>
      <w:rFonts w:ascii="Helvetica Neue" w:hAnsi="Helvetica Neue"/>
      <w:kern w:val="0"/>
      <w:sz w:val="15"/>
      <w:szCs w:val="15"/>
      <w14:ligatures w14:val="none"/>
    </w:rPr>
  </w:style>
  <w:style w:type="character" w:customStyle="1" w:styleId="FootnoteTextChar">
    <w:name w:val="Footnote Text Char"/>
    <w:aliases w:val="Footnotes Char"/>
    <w:basedOn w:val="DefaultParagraphFont"/>
    <w:link w:val="FootnoteText"/>
    <w:uiPriority w:val="99"/>
    <w:rsid w:val="00E20A25"/>
    <w:rPr>
      <w:rFonts w:ascii="Helvetica Neue" w:hAnsi="Helvetica Neue"/>
      <w:kern w:val="0"/>
      <w:sz w:val="15"/>
      <w:szCs w:val="15"/>
      <w14:ligatures w14:val="none"/>
    </w:rPr>
  </w:style>
  <w:style w:type="table" w:styleId="TableGrid">
    <w:name w:val="Table Grid"/>
    <w:basedOn w:val="TableNormal"/>
    <w:uiPriority w:val="39"/>
    <w:rsid w:val="00E20A25"/>
    <w:pPr>
      <w:spacing w:after="0" w:line="240" w:lineRule="auto"/>
    </w:pPr>
    <w:rPr>
      <w:kern w:val="0"/>
      <w:sz w:val="24"/>
      <w:szCs w:val="24"/>
      <w:lang w:val="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E20A25"/>
    <w:pPr>
      <w:spacing w:after="0" w:line="240" w:lineRule="auto"/>
    </w:pPr>
    <w:rPr>
      <w:rFonts w:ascii="Helvetica Neue" w:hAnsi="Helvetica Neue"/>
      <w:b/>
      <w:bCs/>
      <w:color w:val="FFFFFF" w:themeColor="background1"/>
      <w:kern w:val="0"/>
      <w:sz w:val="24"/>
      <w:szCs w:val="24"/>
      <w14:ligatures w14:val="none"/>
    </w:rPr>
  </w:style>
  <w:style w:type="paragraph" w:customStyle="1" w:styleId="TableBullet">
    <w:name w:val="TableBullet"/>
    <w:qFormat/>
    <w:rsid w:val="00E20A25"/>
    <w:pPr>
      <w:numPr>
        <w:numId w:val="3"/>
      </w:numPr>
      <w:spacing w:after="0" w:line="240" w:lineRule="auto"/>
    </w:pPr>
    <w:rPr>
      <w:rFonts w:ascii="Helvetica Neue Light" w:hAnsi="Helvetica Neue Light"/>
      <w:color w:val="000000" w:themeColor="text1"/>
      <w:kern w:val="0"/>
      <w:sz w:val="20"/>
      <w:szCs w:val="20"/>
      <w14:ligatures w14:val="none"/>
    </w:rPr>
  </w:style>
  <w:style w:type="character" w:styleId="Hyperlink">
    <w:name w:val="Hyperlink"/>
    <w:basedOn w:val="DefaultParagraphFont"/>
    <w:uiPriority w:val="99"/>
    <w:unhideWhenUsed/>
    <w:rsid w:val="00E20A25"/>
    <w:rPr>
      <w:rFonts w:ascii="Helvetica Neue Light" w:hAnsi="Helvetica Neue Light"/>
      <w:b w:val="0"/>
      <w:i w:val="0"/>
      <w:color w:val="873174"/>
      <w:u w:val="single"/>
    </w:rPr>
  </w:style>
  <w:style w:type="character" w:styleId="CommentReference">
    <w:name w:val="annotation reference"/>
    <w:basedOn w:val="DefaultParagraphFont"/>
    <w:uiPriority w:val="99"/>
    <w:semiHidden/>
    <w:unhideWhenUsed/>
    <w:rsid w:val="00E20A25"/>
    <w:rPr>
      <w:sz w:val="16"/>
      <w:szCs w:val="16"/>
    </w:rPr>
  </w:style>
  <w:style w:type="paragraph" w:styleId="CommentText">
    <w:name w:val="annotation text"/>
    <w:basedOn w:val="Normal"/>
    <w:link w:val="CommentTextChar"/>
    <w:uiPriority w:val="99"/>
    <w:unhideWhenUsed/>
    <w:rsid w:val="00E20A25"/>
    <w:pPr>
      <w:spacing w:after="160"/>
    </w:pPr>
    <w:rPr>
      <w:rFonts w:ascii="Calibri" w:eastAsia="Calibri" w:hAnsi="Calibri" w:cs="Calibri"/>
      <w:sz w:val="20"/>
      <w:szCs w:val="20"/>
      <w:lang w:val="en-GB"/>
    </w:rPr>
  </w:style>
  <w:style w:type="character" w:customStyle="1" w:styleId="CommentTextChar">
    <w:name w:val="Comment Text Char"/>
    <w:basedOn w:val="DefaultParagraphFont"/>
    <w:link w:val="CommentText"/>
    <w:uiPriority w:val="99"/>
    <w:rsid w:val="00E20A25"/>
    <w:rPr>
      <w:rFonts w:ascii="Calibri" w:eastAsia="Calibri" w:hAnsi="Calibri" w:cs="Calibri"/>
      <w:kern w:val="0"/>
      <w:sz w:val="20"/>
      <w:szCs w:val="20"/>
      <w:lang w:val="en-GB"/>
      <w14:ligatures w14:val="none"/>
    </w:rPr>
  </w:style>
  <w:style w:type="character" w:customStyle="1" w:styleId="UnresolvedMention1">
    <w:name w:val="Unresolved Mention1"/>
    <w:basedOn w:val="DefaultParagraphFont"/>
    <w:uiPriority w:val="99"/>
    <w:semiHidden/>
    <w:unhideWhenUsed/>
    <w:rsid w:val="007B63A0"/>
    <w:rPr>
      <w:color w:val="605E5C"/>
      <w:shd w:val="clear" w:color="auto" w:fill="E1DFDD"/>
    </w:rPr>
  </w:style>
  <w:style w:type="character" w:styleId="FollowedHyperlink">
    <w:name w:val="FollowedHyperlink"/>
    <w:basedOn w:val="DefaultParagraphFont"/>
    <w:uiPriority w:val="99"/>
    <w:semiHidden/>
    <w:unhideWhenUsed/>
    <w:rsid w:val="007B63A0"/>
    <w:rPr>
      <w:color w:val="954F72" w:themeColor="followedHyperlink"/>
      <w:u w:val="single"/>
    </w:rPr>
  </w:style>
  <w:style w:type="paragraph" w:styleId="ListParagraph">
    <w:name w:val="List Paragraph"/>
    <w:basedOn w:val="Normal"/>
    <w:uiPriority w:val="34"/>
    <w:qFormat/>
    <w:rsid w:val="00E825E6"/>
    <w:pPr>
      <w:ind w:left="720"/>
      <w:contextualSpacing/>
    </w:pPr>
  </w:style>
  <w:style w:type="paragraph" w:styleId="HTMLPreformatted">
    <w:name w:val="HTML Preformatted"/>
    <w:basedOn w:val="Normal"/>
    <w:link w:val="HTMLPreformattedChar"/>
    <w:uiPriority w:val="99"/>
    <w:semiHidden/>
    <w:unhideWhenUsed/>
    <w:rsid w:val="00990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990881"/>
    <w:rPr>
      <w:rFonts w:ascii="Courier New" w:eastAsia="Times New Roman" w:hAnsi="Courier New" w:cs="Courier New"/>
      <w:kern w:val="0"/>
      <w:sz w:val="20"/>
      <w:szCs w:val="20"/>
      <w14:ligatures w14:val="none"/>
    </w:rPr>
  </w:style>
  <w:style w:type="character" w:customStyle="1" w:styleId="y2iqfc">
    <w:name w:val="y2iqfc"/>
    <w:basedOn w:val="DefaultParagraphFont"/>
    <w:rsid w:val="00990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569634">
      <w:bodyDiv w:val="1"/>
      <w:marLeft w:val="0"/>
      <w:marRight w:val="0"/>
      <w:marTop w:val="0"/>
      <w:marBottom w:val="0"/>
      <w:divBdr>
        <w:top w:val="none" w:sz="0" w:space="0" w:color="auto"/>
        <w:left w:val="none" w:sz="0" w:space="0" w:color="auto"/>
        <w:bottom w:val="none" w:sz="0" w:space="0" w:color="auto"/>
        <w:right w:val="none" w:sz="0" w:space="0" w:color="auto"/>
      </w:divBdr>
      <w:divsChild>
        <w:div w:id="1394890746">
          <w:marLeft w:val="0"/>
          <w:marRight w:val="0"/>
          <w:marTop w:val="0"/>
          <w:marBottom w:val="0"/>
          <w:divBdr>
            <w:top w:val="none" w:sz="0" w:space="0" w:color="auto"/>
            <w:left w:val="none" w:sz="0" w:space="0" w:color="auto"/>
            <w:bottom w:val="none" w:sz="0" w:space="0" w:color="auto"/>
            <w:right w:val="none" w:sz="0" w:space="0" w:color="auto"/>
          </w:divBdr>
        </w:div>
        <w:div w:id="939526091">
          <w:marLeft w:val="0"/>
          <w:marRight w:val="0"/>
          <w:marTop w:val="0"/>
          <w:marBottom w:val="0"/>
          <w:divBdr>
            <w:top w:val="none" w:sz="0" w:space="0" w:color="auto"/>
            <w:left w:val="none" w:sz="0" w:space="0" w:color="auto"/>
            <w:bottom w:val="none" w:sz="0" w:space="0" w:color="auto"/>
            <w:right w:val="none" w:sz="0" w:space="0" w:color="auto"/>
          </w:divBdr>
        </w:div>
      </w:divsChild>
    </w:div>
    <w:div w:id="453257500">
      <w:bodyDiv w:val="1"/>
      <w:marLeft w:val="0"/>
      <w:marRight w:val="0"/>
      <w:marTop w:val="0"/>
      <w:marBottom w:val="0"/>
      <w:divBdr>
        <w:top w:val="none" w:sz="0" w:space="0" w:color="auto"/>
        <w:left w:val="none" w:sz="0" w:space="0" w:color="auto"/>
        <w:bottom w:val="none" w:sz="0" w:space="0" w:color="auto"/>
        <w:right w:val="none" w:sz="0" w:space="0" w:color="auto"/>
      </w:divBdr>
      <w:divsChild>
        <w:div w:id="1851875743">
          <w:marLeft w:val="0"/>
          <w:marRight w:val="0"/>
          <w:marTop w:val="0"/>
          <w:marBottom w:val="0"/>
          <w:divBdr>
            <w:top w:val="none" w:sz="0" w:space="0" w:color="auto"/>
            <w:left w:val="none" w:sz="0" w:space="0" w:color="auto"/>
            <w:bottom w:val="none" w:sz="0" w:space="0" w:color="auto"/>
            <w:right w:val="none" w:sz="0" w:space="0" w:color="auto"/>
          </w:divBdr>
        </w:div>
      </w:divsChild>
    </w:div>
    <w:div w:id="456799593">
      <w:bodyDiv w:val="1"/>
      <w:marLeft w:val="0"/>
      <w:marRight w:val="0"/>
      <w:marTop w:val="0"/>
      <w:marBottom w:val="0"/>
      <w:divBdr>
        <w:top w:val="none" w:sz="0" w:space="0" w:color="auto"/>
        <w:left w:val="none" w:sz="0" w:space="0" w:color="auto"/>
        <w:bottom w:val="none" w:sz="0" w:space="0" w:color="auto"/>
        <w:right w:val="none" w:sz="0" w:space="0" w:color="auto"/>
      </w:divBdr>
    </w:div>
    <w:div w:id="794328194">
      <w:bodyDiv w:val="1"/>
      <w:marLeft w:val="0"/>
      <w:marRight w:val="0"/>
      <w:marTop w:val="0"/>
      <w:marBottom w:val="0"/>
      <w:divBdr>
        <w:top w:val="none" w:sz="0" w:space="0" w:color="auto"/>
        <w:left w:val="none" w:sz="0" w:space="0" w:color="auto"/>
        <w:bottom w:val="none" w:sz="0" w:space="0" w:color="auto"/>
        <w:right w:val="none" w:sz="0" w:space="0" w:color="auto"/>
      </w:divBdr>
    </w:div>
    <w:div w:id="198688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1891</TotalTime>
  <Pages>5</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 Ebdah</dc:creator>
  <cp:keywords/>
  <dc:description/>
  <cp:lastModifiedBy>HP</cp:lastModifiedBy>
  <cp:revision>47</cp:revision>
  <dcterms:created xsi:type="dcterms:W3CDTF">2023-10-23T12:27:00Z</dcterms:created>
  <dcterms:modified xsi:type="dcterms:W3CDTF">2023-11-06T12:14:00Z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a8e4ae7f-bca9-43e4-a015-83bebd6f2036</vt:lpwstr>
  </property>
</Properties>
</file>