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5B05C" w14:textId="77777777" w:rsidR="0029614A" w:rsidRPr="00695335" w:rsidRDefault="00835352" w:rsidP="00835352">
      <w:pPr>
        <w:bidi/>
        <w:jc w:val="both"/>
        <w:rPr>
          <w:rFonts w:cstheme="minorHAnsi"/>
          <w:color w:val="FF0000"/>
          <w:sz w:val="24"/>
          <w:szCs w:val="24"/>
          <w:rtl/>
          <w:lang w:bidi="ar-JO"/>
        </w:rPr>
      </w:pPr>
      <w:r w:rsidRPr="00695335">
        <w:rPr>
          <w:rFonts w:cstheme="minorHAnsi"/>
          <w:color w:val="FF0000"/>
          <w:sz w:val="24"/>
          <w:szCs w:val="24"/>
          <w:rtl/>
          <w:lang w:bidi="ar-JO"/>
        </w:rPr>
        <w:t xml:space="preserve">تحطيم الحواجز في عملية التأهب للكوارث والاستجابة لها التي يقودها المجتمع </w:t>
      </w:r>
    </w:p>
    <w:p w14:paraId="424B791C" w14:textId="77777777" w:rsidR="00835352" w:rsidRPr="00695335" w:rsidRDefault="009A44F3" w:rsidP="00F172E9">
      <w:pPr>
        <w:bidi/>
        <w:jc w:val="both"/>
        <w:rPr>
          <w:rFonts w:cstheme="minorHAnsi"/>
          <w:sz w:val="24"/>
          <w:szCs w:val="24"/>
          <w:rtl/>
          <w:lang w:bidi="ar-JO"/>
        </w:rPr>
      </w:pPr>
      <w:r w:rsidRPr="00695335">
        <w:rPr>
          <w:rFonts w:cstheme="minorHAnsi"/>
          <w:sz w:val="24"/>
          <w:szCs w:val="24"/>
          <w:rtl/>
          <w:lang w:bidi="ar-JO"/>
        </w:rPr>
        <w:t>تبدأ الأوبئة في المجتمعات وتنتهي فيها. عندما تُشرك المجتمعات وتُدرب على التأهب للأوبئة والاستجابة لها يصبحون مساهمين حيويين في تحديد تفشي المرض ووقفه، وتسريع  عملية التعافي وبناء القدرة على الصمود. يطبق برنامج التأهب المجتمعي للأوبئة والجوائح الذي ينفذه الاتحاد الدولي لجمعيات الصليب الأحمر والهلال الأحمرنموذجًا للمشاركة المجتمعية،والذي يشرك فيه القادة والمؤثرين الوطنيين والمحليين لدفع التغيير بقيادة محلية وتعزيزه قدرتهم على منع تهديدات الأمراض واكتشافها والاستجابة لها قبل أن تتفشى.</w:t>
      </w:r>
    </w:p>
    <w:p w14:paraId="64721025" w14:textId="77777777" w:rsidR="009A44F3" w:rsidRPr="00695335" w:rsidRDefault="009A44F3" w:rsidP="009A44F3">
      <w:pPr>
        <w:bidi/>
        <w:jc w:val="both"/>
        <w:rPr>
          <w:rFonts w:cstheme="minorHAnsi"/>
          <w:sz w:val="24"/>
          <w:szCs w:val="24"/>
          <w:rtl/>
          <w:lang w:bidi="ar-JO"/>
        </w:rPr>
      </w:pPr>
      <w:r w:rsidRPr="00695335">
        <w:rPr>
          <w:rFonts w:cstheme="minorHAnsi"/>
          <w:sz w:val="24"/>
          <w:szCs w:val="24"/>
          <w:rtl/>
          <w:lang w:bidi="ar-JO"/>
        </w:rPr>
        <w:t xml:space="preserve">لغايات كسب ثقة المزارعين المحليين ومشاركتهم، عقدت الحكومة والصليب الأحمر الكيني جلسة حوار مجتمعي تقليدية، جمعت بين قادة المجتمع التقليدي والمسؤولين والمزارعين والمتطوعين وغيرهم من أفراد المجتمع المؤثرين لتبادل وجهات النظر وتعزيز التعاون. وترتب على ذلك أنشطة أدت إلى تحسين المعرفة والممارسات الصحية المجتمعية بشأن التخلص الآمن من جثث الحيوانات، والإبلاغ عن أمراض الحيوانات غير العادية، وأهمية تطعيم الماشية، والمعلومات العامة عن تفشي الأمراض. </w:t>
      </w:r>
    </w:p>
    <w:p w14:paraId="06E247A4" w14:textId="77777777" w:rsidR="009A44F3" w:rsidRPr="00695335" w:rsidRDefault="009A44F3" w:rsidP="009A44F3">
      <w:pPr>
        <w:bidi/>
        <w:jc w:val="both"/>
        <w:rPr>
          <w:rFonts w:cstheme="minorHAnsi"/>
          <w:sz w:val="24"/>
          <w:szCs w:val="24"/>
          <w:rtl/>
          <w:lang w:bidi="ar-JO"/>
        </w:rPr>
      </w:pPr>
      <w:r w:rsidRPr="00695335">
        <w:rPr>
          <w:rFonts w:cstheme="minorHAnsi"/>
          <w:b/>
          <w:bCs/>
          <w:sz w:val="24"/>
          <w:szCs w:val="24"/>
          <w:rtl/>
          <w:lang w:bidi="ar-JO"/>
        </w:rPr>
        <w:t>10,807</w:t>
      </w:r>
      <w:r w:rsidRPr="00695335">
        <w:rPr>
          <w:rFonts w:cstheme="minorHAnsi"/>
          <w:sz w:val="24"/>
          <w:szCs w:val="24"/>
          <w:rtl/>
          <w:lang w:bidi="ar-JO"/>
        </w:rPr>
        <w:t xml:space="preserve"> الأشخاص الذين تم الوصول إليهم في </w:t>
      </w:r>
      <w:r w:rsidR="005B1648" w:rsidRPr="00695335">
        <w:rPr>
          <w:rFonts w:cstheme="minorHAnsi"/>
          <w:sz w:val="24"/>
          <w:szCs w:val="24"/>
          <w:rtl/>
          <w:lang w:bidi="ar-JO"/>
        </w:rPr>
        <w:t>رسائل الوقاية من الجمرة الخبيثة</w:t>
      </w:r>
    </w:p>
    <w:p w14:paraId="31E31D25" w14:textId="77777777" w:rsidR="005B1648" w:rsidRPr="00695335" w:rsidRDefault="005B1648" w:rsidP="005B1648">
      <w:pPr>
        <w:bidi/>
        <w:jc w:val="both"/>
        <w:rPr>
          <w:rFonts w:cstheme="minorHAnsi"/>
          <w:sz w:val="24"/>
          <w:szCs w:val="24"/>
          <w:rtl/>
          <w:lang w:bidi="ar-JO"/>
        </w:rPr>
      </w:pPr>
      <w:r w:rsidRPr="00695335">
        <w:rPr>
          <w:rFonts w:cstheme="minorHAnsi"/>
          <w:b/>
          <w:bCs/>
          <w:sz w:val="24"/>
          <w:szCs w:val="24"/>
          <w:rtl/>
          <w:lang w:bidi="ar-JO"/>
        </w:rPr>
        <w:t>24,600</w:t>
      </w:r>
      <w:r w:rsidRPr="00695335">
        <w:rPr>
          <w:rFonts w:cstheme="minorHAnsi"/>
          <w:sz w:val="24"/>
          <w:szCs w:val="24"/>
          <w:rtl/>
          <w:lang w:bidi="ar-JO"/>
        </w:rPr>
        <w:t xml:space="preserve"> طعمت المحافظة  10,600 رأسا من الأبقار و14,000 رأسا من الأغنام </w:t>
      </w:r>
    </w:p>
    <w:p w14:paraId="70E1E19D" w14:textId="77777777" w:rsidR="005B1648" w:rsidRPr="00695335" w:rsidRDefault="005B1648" w:rsidP="005B1648">
      <w:pPr>
        <w:bidi/>
        <w:jc w:val="both"/>
        <w:rPr>
          <w:rFonts w:cstheme="minorHAnsi"/>
          <w:sz w:val="24"/>
          <w:szCs w:val="24"/>
          <w:rtl/>
          <w:lang w:bidi="ar-JO"/>
        </w:rPr>
      </w:pPr>
      <w:r w:rsidRPr="00695335">
        <w:rPr>
          <w:rFonts w:cstheme="minorHAnsi"/>
          <w:sz w:val="24"/>
          <w:szCs w:val="24"/>
          <w:rtl/>
          <w:lang w:bidi="ar-JO"/>
        </w:rPr>
        <w:t xml:space="preserve">السينما المتنقلة للتأهب لفيورس الإيبولا في أوغندا </w:t>
      </w:r>
    </w:p>
    <w:p w14:paraId="249947B0" w14:textId="77777777" w:rsidR="005B1648" w:rsidRPr="00695335" w:rsidRDefault="005B1648" w:rsidP="005B1648">
      <w:pPr>
        <w:bidi/>
        <w:jc w:val="both"/>
        <w:rPr>
          <w:rFonts w:cstheme="minorHAnsi"/>
          <w:sz w:val="24"/>
          <w:szCs w:val="24"/>
          <w:rtl/>
          <w:lang w:bidi="ar-JO"/>
        </w:rPr>
      </w:pPr>
      <w:r w:rsidRPr="00695335">
        <w:rPr>
          <w:rFonts w:cstheme="minorHAnsi"/>
          <w:sz w:val="24"/>
          <w:szCs w:val="24"/>
          <w:rtl/>
          <w:lang w:bidi="ar-JO"/>
        </w:rPr>
        <w:t>لغايات إعداد المجتمعات ا على طول الحدود بين أوغندا وجمهورية الكونغو الديمقراطية لمواجهة الفشي المحتمل لوباء الإيبولا عام 2018 في شمال كيفو بجمهورية الكونغو الديمقراطية، أطلق الصليب الأحمر الأوغندي أنشطة السينما المتنقلة للوصول إلى عدد كبير من السكان. تتمثل فعاليات السينما المتنقلة في عروض فيديو متنقلة يمكنها الوصول إلى فئات كبيرة في وقت قصير. عرض الصليب الأحمر الأوغندي "قصة الإيبولا"، وهو فيلم رسوم متحركة قصير مدعوم بأنشطة تعزيز النظافة والتثقيف حول الوقاية من الإيبولا وعلاجه. أخذ متطوعو الصليب الأحمر عينات من مجموعة مختارة من الحاضرين باستخدام استبيان قصير جدًا حول المعارف و المواقف والممارسات قبل الجلسة وبعدها.</w:t>
      </w:r>
    </w:p>
    <w:p w14:paraId="275FE3F6" w14:textId="77777777" w:rsidR="005B1648" w:rsidRPr="00695335" w:rsidRDefault="005B1648" w:rsidP="005B1648">
      <w:pPr>
        <w:bidi/>
        <w:jc w:val="both"/>
        <w:rPr>
          <w:rFonts w:cstheme="minorHAnsi"/>
          <w:sz w:val="24"/>
          <w:szCs w:val="24"/>
          <w:rtl/>
          <w:lang w:bidi="ar-JO"/>
        </w:rPr>
      </w:pPr>
    </w:p>
    <w:tbl>
      <w:tblPr>
        <w:tblStyle w:val="TableGrid"/>
        <w:bidiVisual/>
        <w:tblW w:w="0" w:type="auto"/>
        <w:tblLook w:val="04A0" w:firstRow="1" w:lastRow="0" w:firstColumn="1" w:lastColumn="0" w:noHBand="0" w:noVBand="1"/>
      </w:tblPr>
      <w:tblGrid>
        <w:gridCol w:w="1915"/>
        <w:gridCol w:w="1915"/>
        <w:gridCol w:w="1915"/>
        <w:gridCol w:w="1915"/>
        <w:gridCol w:w="1916"/>
      </w:tblGrid>
      <w:tr w:rsidR="005B1648" w:rsidRPr="00695335" w14:paraId="3E3C92AD" w14:textId="77777777" w:rsidTr="00363E60">
        <w:tc>
          <w:tcPr>
            <w:tcW w:w="9576" w:type="dxa"/>
            <w:gridSpan w:val="5"/>
          </w:tcPr>
          <w:p w14:paraId="24B9109D" w14:textId="77777777" w:rsidR="005B1648" w:rsidRPr="00695335" w:rsidRDefault="005B1648" w:rsidP="005B1648">
            <w:pPr>
              <w:bidi/>
              <w:jc w:val="both"/>
              <w:rPr>
                <w:rFonts w:cstheme="minorHAnsi"/>
                <w:sz w:val="24"/>
                <w:szCs w:val="24"/>
                <w:rtl/>
                <w:lang w:bidi="ar-JO"/>
              </w:rPr>
            </w:pPr>
            <w:r w:rsidRPr="00695335">
              <w:rPr>
                <w:rFonts w:cstheme="minorHAnsi"/>
                <w:sz w:val="24"/>
                <w:szCs w:val="24"/>
                <w:rtl/>
                <w:lang w:bidi="ar-JO"/>
              </w:rPr>
              <w:t>السينما المتنقلة للتوعية بشأن الإيبولا (النسبة المئوية للاستجابات الصحيحة)</w:t>
            </w:r>
          </w:p>
          <w:p w14:paraId="6ABF0C02" w14:textId="77777777" w:rsidR="005B1648" w:rsidRPr="00695335" w:rsidRDefault="005B1648" w:rsidP="005B1648">
            <w:pPr>
              <w:bidi/>
              <w:jc w:val="both"/>
              <w:rPr>
                <w:rFonts w:cstheme="minorHAnsi"/>
                <w:sz w:val="24"/>
                <w:szCs w:val="24"/>
                <w:rtl/>
                <w:lang w:bidi="ar-JO"/>
              </w:rPr>
            </w:pPr>
          </w:p>
        </w:tc>
      </w:tr>
      <w:tr w:rsidR="008E10B1" w:rsidRPr="00695335" w14:paraId="0BF81E6A" w14:textId="77777777" w:rsidTr="00E01F61">
        <w:tc>
          <w:tcPr>
            <w:tcW w:w="1915" w:type="dxa"/>
          </w:tcPr>
          <w:p w14:paraId="34D3CA8B" w14:textId="77777777" w:rsidR="008E10B1" w:rsidRPr="00695335" w:rsidRDefault="008E10B1" w:rsidP="005B1648">
            <w:pPr>
              <w:bidi/>
              <w:jc w:val="both"/>
              <w:rPr>
                <w:rFonts w:cstheme="minorHAnsi"/>
                <w:sz w:val="24"/>
                <w:szCs w:val="24"/>
                <w:rtl/>
                <w:lang w:bidi="ar-JO"/>
              </w:rPr>
            </w:pPr>
            <w:r w:rsidRPr="00695335">
              <w:rPr>
                <w:rFonts w:cstheme="minorHAnsi"/>
                <w:color w:val="FF0000"/>
                <w:sz w:val="24"/>
                <w:szCs w:val="24"/>
                <w:rtl/>
                <w:lang w:bidi="ar-JO"/>
              </w:rPr>
              <w:t>قبل</w:t>
            </w:r>
          </w:p>
        </w:tc>
        <w:tc>
          <w:tcPr>
            <w:tcW w:w="1915" w:type="dxa"/>
          </w:tcPr>
          <w:p w14:paraId="3C0E0C37" w14:textId="77777777" w:rsidR="008E10B1" w:rsidRPr="00695335" w:rsidRDefault="008E10B1" w:rsidP="005B1648">
            <w:pPr>
              <w:bidi/>
              <w:jc w:val="both"/>
              <w:rPr>
                <w:rFonts w:cstheme="minorHAnsi"/>
                <w:sz w:val="24"/>
                <w:szCs w:val="24"/>
                <w:rtl/>
                <w:lang w:bidi="ar-JO"/>
              </w:rPr>
            </w:pPr>
            <w:r w:rsidRPr="00695335">
              <w:rPr>
                <w:rFonts w:cstheme="minorHAnsi"/>
                <w:color w:val="002060"/>
                <w:sz w:val="24"/>
                <w:szCs w:val="24"/>
                <w:rtl/>
                <w:lang w:bidi="ar-JO"/>
              </w:rPr>
              <w:t>بعد</w:t>
            </w:r>
          </w:p>
        </w:tc>
        <w:tc>
          <w:tcPr>
            <w:tcW w:w="5746" w:type="dxa"/>
            <w:gridSpan w:val="3"/>
          </w:tcPr>
          <w:p w14:paraId="01F76C08" w14:textId="77777777" w:rsidR="008E10B1" w:rsidRPr="00695335" w:rsidRDefault="008E10B1" w:rsidP="005B1648">
            <w:pPr>
              <w:bidi/>
              <w:jc w:val="both"/>
              <w:rPr>
                <w:rFonts w:cstheme="minorHAnsi"/>
                <w:sz w:val="24"/>
                <w:szCs w:val="24"/>
                <w:rtl/>
                <w:lang w:bidi="ar-JO"/>
              </w:rPr>
            </w:pPr>
          </w:p>
        </w:tc>
      </w:tr>
      <w:tr w:rsidR="005B1648" w:rsidRPr="00695335" w14:paraId="0D6DC8EB" w14:textId="77777777" w:rsidTr="005B1648">
        <w:tc>
          <w:tcPr>
            <w:tcW w:w="1915" w:type="dxa"/>
          </w:tcPr>
          <w:p w14:paraId="48B38221" w14:textId="77777777" w:rsidR="005B1648" w:rsidRPr="00695335" w:rsidRDefault="008E10B1" w:rsidP="005B1648">
            <w:pPr>
              <w:bidi/>
              <w:jc w:val="both"/>
              <w:rPr>
                <w:rFonts w:cstheme="minorHAnsi"/>
                <w:sz w:val="24"/>
                <w:szCs w:val="24"/>
                <w:rtl/>
                <w:lang w:bidi="ar-JO"/>
              </w:rPr>
            </w:pPr>
            <w:r w:rsidRPr="00695335">
              <w:rPr>
                <w:rFonts w:cstheme="minorHAnsi"/>
                <w:sz w:val="24"/>
                <w:szCs w:val="24"/>
                <w:rtl/>
                <w:lang w:bidi="ar-JO"/>
              </w:rPr>
              <w:t>63%/39%</w:t>
            </w:r>
          </w:p>
        </w:tc>
        <w:tc>
          <w:tcPr>
            <w:tcW w:w="1915" w:type="dxa"/>
          </w:tcPr>
          <w:p w14:paraId="2994109C" w14:textId="77777777" w:rsidR="005B1648" w:rsidRPr="00695335" w:rsidRDefault="008E10B1" w:rsidP="005B1648">
            <w:pPr>
              <w:bidi/>
              <w:jc w:val="both"/>
              <w:rPr>
                <w:rFonts w:cstheme="minorHAnsi"/>
                <w:sz w:val="24"/>
                <w:szCs w:val="24"/>
                <w:rtl/>
                <w:lang w:bidi="ar-JO"/>
              </w:rPr>
            </w:pPr>
            <w:r w:rsidRPr="00695335">
              <w:rPr>
                <w:rFonts w:cstheme="minorHAnsi"/>
                <w:sz w:val="24"/>
                <w:szCs w:val="24"/>
                <w:rtl/>
                <w:lang w:bidi="ar-JO"/>
              </w:rPr>
              <w:t>74%/43%</w:t>
            </w:r>
          </w:p>
        </w:tc>
        <w:tc>
          <w:tcPr>
            <w:tcW w:w="1915" w:type="dxa"/>
          </w:tcPr>
          <w:p w14:paraId="304DF90E" w14:textId="77777777" w:rsidR="005B1648" w:rsidRPr="00695335" w:rsidRDefault="008E10B1" w:rsidP="005B1648">
            <w:pPr>
              <w:bidi/>
              <w:jc w:val="both"/>
              <w:rPr>
                <w:rFonts w:cstheme="minorHAnsi"/>
                <w:sz w:val="24"/>
                <w:szCs w:val="24"/>
                <w:rtl/>
                <w:lang w:bidi="ar-JO"/>
              </w:rPr>
            </w:pPr>
            <w:r w:rsidRPr="00695335">
              <w:rPr>
                <w:rFonts w:cstheme="minorHAnsi"/>
                <w:sz w:val="24"/>
                <w:szCs w:val="24"/>
                <w:rtl/>
                <w:lang w:bidi="ar-JO"/>
              </w:rPr>
              <w:t>85%/38%</w:t>
            </w:r>
          </w:p>
        </w:tc>
        <w:tc>
          <w:tcPr>
            <w:tcW w:w="1915" w:type="dxa"/>
          </w:tcPr>
          <w:p w14:paraId="3A585365" w14:textId="77777777" w:rsidR="005B1648" w:rsidRPr="00695335" w:rsidRDefault="008E10B1" w:rsidP="005B1648">
            <w:pPr>
              <w:bidi/>
              <w:jc w:val="both"/>
              <w:rPr>
                <w:rFonts w:cstheme="minorHAnsi"/>
                <w:sz w:val="24"/>
                <w:szCs w:val="24"/>
                <w:rtl/>
                <w:lang w:bidi="ar-JO"/>
              </w:rPr>
            </w:pPr>
            <w:r w:rsidRPr="00695335">
              <w:rPr>
                <w:rFonts w:cstheme="minorHAnsi"/>
                <w:sz w:val="24"/>
                <w:szCs w:val="24"/>
                <w:rtl/>
                <w:lang w:bidi="ar-JO"/>
              </w:rPr>
              <w:t>7%/6%</w:t>
            </w:r>
          </w:p>
        </w:tc>
        <w:tc>
          <w:tcPr>
            <w:tcW w:w="1916" w:type="dxa"/>
          </w:tcPr>
          <w:p w14:paraId="69842434" w14:textId="77777777" w:rsidR="005B1648" w:rsidRPr="00695335" w:rsidRDefault="005B1648" w:rsidP="005B1648">
            <w:pPr>
              <w:bidi/>
              <w:jc w:val="both"/>
              <w:rPr>
                <w:rFonts w:cstheme="minorHAnsi"/>
                <w:sz w:val="24"/>
                <w:szCs w:val="24"/>
                <w:rtl/>
                <w:lang w:bidi="ar-JO"/>
              </w:rPr>
            </w:pPr>
          </w:p>
        </w:tc>
      </w:tr>
      <w:tr w:rsidR="005B1648" w:rsidRPr="00695335" w14:paraId="784B23DE" w14:textId="77777777" w:rsidTr="005B1648">
        <w:tc>
          <w:tcPr>
            <w:tcW w:w="1915" w:type="dxa"/>
          </w:tcPr>
          <w:p w14:paraId="47C193AC" w14:textId="77777777" w:rsidR="005B1648" w:rsidRPr="00695335" w:rsidRDefault="008E10B1" w:rsidP="008E10B1">
            <w:pPr>
              <w:bidi/>
              <w:jc w:val="both"/>
              <w:rPr>
                <w:rFonts w:cstheme="minorHAnsi"/>
                <w:sz w:val="24"/>
                <w:szCs w:val="24"/>
                <w:rtl/>
                <w:lang w:bidi="ar-JO"/>
              </w:rPr>
            </w:pPr>
            <w:r w:rsidRPr="00695335">
              <w:rPr>
                <w:rFonts w:cstheme="minorHAnsi"/>
                <w:sz w:val="24"/>
                <w:szCs w:val="24"/>
                <w:rtl/>
                <w:lang w:bidi="ar-JO"/>
              </w:rPr>
              <w:t>الإنتشار: أعرف أكثر من 3 طرق</w:t>
            </w:r>
          </w:p>
        </w:tc>
        <w:tc>
          <w:tcPr>
            <w:tcW w:w="1915" w:type="dxa"/>
          </w:tcPr>
          <w:p w14:paraId="684AFF14" w14:textId="77777777" w:rsidR="005B1648" w:rsidRPr="00695335" w:rsidRDefault="008E10B1" w:rsidP="005B1648">
            <w:pPr>
              <w:bidi/>
              <w:jc w:val="both"/>
              <w:rPr>
                <w:rFonts w:cstheme="minorHAnsi"/>
                <w:sz w:val="24"/>
                <w:szCs w:val="24"/>
                <w:rtl/>
                <w:lang w:bidi="ar-JO"/>
              </w:rPr>
            </w:pPr>
            <w:r w:rsidRPr="00695335">
              <w:rPr>
                <w:rFonts w:cstheme="minorHAnsi"/>
                <w:sz w:val="24"/>
                <w:szCs w:val="24"/>
                <w:rtl/>
                <w:lang w:bidi="ar-JO"/>
              </w:rPr>
              <w:t>العلامات: أعرف أكثر من 3 علامات</w:t>
            </w:r>
          </w:p>
        </w:tc>
        <w:tc>
          <w:tcPr>
            <w:tcW w:w="1915" w:type="dxa"/>
          </w:tcPr>
          <w:p w14:paraId="20289B0D" w14:textId="77777777" w:rsidR="005B1648" w:rsidRPr="00695335" w:rsidRDefault="008E10B1" w:rsidP="005B1648">
            <w:pPr>
              <w:bidi/>
              <w:jc w:val="both"/>
              <w:rPr>
                <w:rFonts w:cstheme="minorHAnsi"/>
                <w:sz w:val="24"/>
                <w:szCs w:val="24"/>
                <w:rtl/>
                <w:lang w:bidi="ar-JO"/>
              </w:rPr>
            </w:pPr>
            <w:r w:rsidRPr="00695335">
              <w:rPr>
                <w:rFonts w:cstheme="minorHAnsi"/>
                <w:sz w:val="24"/>
                <w:szCs w:val="24"/>
                <w:rtl/>
                <w:lang w:bidi="ar-JO"/>
              </w:rPr>
              <w:t>الوقاية: أعرف أكثر من ثلاث إجراءات</w:t>
            </w:r>
          </w:p>
        </w:tc>
        <w:tc>
          <w:tcPr>
            <w:tcW w:w="1915" w:type="dxa"/>
          </w:tcPr>
          <w:p w14:paraId="50D11411" w14:textId="77777777" w:rsidR="005B1648" w:rsidRPr="00695335" w:rsidRDefault="008E10B1" w:rsidP="005B1648">
            <w:pPr>
              <w:bidi/>
              <w:jc w:val="both"/>
              <w:rPr>
                <w:rFonts w:cstheme="minorHAnsi"/>
                <w:sz w:val="24"/>
                <w:szCs w:val="24"/>
                <w:rtl/>
                <w:lang w:bidi="ar-JO"/>
              </w:rPr>
            </w:pPr>
            <w:r w:rsidRPr="00695335">
              <w:rPr>
                <w:rFonts w:cstheme="minorHAnsi"/>
                <w:sz w:val="24"/>
                <w:szCs w:val="24"/>
                <w:rtl/>
                <w:lang w:bidi="ar-JO"/>
              </w:rPr>
              <w:t>الإبلاغ: أعرف أكثر من 3 طرق للإبلاغ</w:t>
            </w:r>
          </w:p>
        </w:tc>
        <w:tc>
          <w:tcPr>
            <w:tcW w:w="1916" w:type="dxa"/>
          </w:tcPr>
          <w:p w14:paraId="7FFBC1EA" w14:textId="77777777" w:rsidR="005B1648" w:rsidRPr="00695335" w:rsidRDefault="005B1648" w:rsidP="005B1648">
            <w:pPr>
              <w:bidi/>
              <w:jc w:val="both"/>
              <w:rPr>
                <w:rFonts w:cstheme="minorHAnsi"/>
                <w:sz w:val="24"/>
                <w:szCs w:val="24"/>
                <w:rtl/>
                <w:lang w:bidi="ar-JO"/>
              </w:rPr>
            </w:pPr>
          </w:p>
        </w:tc>
      </w:tr>
      <w:tr w:rsidR="008E10B1" w:rsidRPr="00695335" w14:paraId="60517E4E" w14:textId="77777777" w:rsidTr="00570C61">
        <w:tc>
          <w:tcPr>
            <w:tcW w:w="9576" w:type="dxa"/>
            <w:gridSpan w:val="5"/>
          </w:tcPr>
          <w:p w14:paraId="75ABF135" w14:textId="77777777" w:rsidR="008E10B1" w:rsidRPr="00695335" w:rsidRDefault="008E10B1" w:rsidP="005B1648">
            <w:pPr>
              <w:bidi/>
              <w:jc w:val="both"/>
              <w:rPr>
                <w:rFonts w:cstheme="minorHAnsi"/>
                <w:sz w:val="24"/>
                <w:szCs w:val="24"/>
                <w:rtl/>
                <w:lang w:bidi="ar-JO"/>
              </w:rPr>
            </w:pPr>
            <w:r w:rsidRPr="00695335">
              <w:rPr>
                <w:rFonts w:cstheme="minorHAnsi"/>
                <w:sz w:val="24"/>
                <w:szCs w:val="24"/>
                <w:rtl/>
                <w:lang w:bidi="ar-JO"/>
              </w:rPr>
              <w:t>17,750 الأشخاص الذين تم الوصول إليهم من خلال جلسات السينما المتنقلة (كانون أول 2018-كانون ثاني 2019)</w:t>
            </w:r>
          </w:p>
        </w:tc>
      </w:tr>
      <w:tr w:rsidR="005B1648" w:rsidRPr="00695335" w14:paraId="0B8D3FC5" w14:textId="77777777" w:rsidTr="005B1648">
        <w:tc>
          <w:tcPr>
            <w:tcW w:w="1915" w:type="dxa"/>
          </w:tcPr>
          <w:p w14:paraId="31676083" w14:textId="77777777" w:rsidR="005B1648" w:rsidRPr="00695335" w:rsidRDefault="008E10B1" w:rsidP="008E10B1">
            <w:pPr>
              <w:bidi/>
              <w:jc w:val="both"/>
              <w:rPr>
                <w:rFonts w:cstheme="minorHAnsi"/>
                <w:sz w:val="24"/>
                <w:szCs w:val="24"/>
                <w:rtl/>
                <w:lang w:bidi="ar-JO"/>
              </w:rPr>
            </w:pPr>
            <w:r w:rsidRPr="00695335">
              <w:rPr>
                <w:rFonts w:cstheme="minorHAnsi"/>
                <w:sz w:val="24"/>
                <w:szCs w:val="24"/>
                <w:rtl/>
                <w:lang w:bidi="ar-JO"/>
              </w:rPr>
              <w:t>70 جلسة سينما متنقلة</w:t>
            </w:r>
          </w:p>
        </w:tc>
        <w:tc>
          <w:tcPr>
            <w:tcW w:w="1915" w:type="dxa"/>
          </w:tcPr>
          <w:p w14:paraId="65EE43D3" w14:textId="77777777" w:rsidR="005B1648" w:rsidRPr="00695335" w:rsidRDefault="005B1648" w:rsidP="005B1648">
            <w:pPr>
              <w:bidi/>
              <w:jc w:val="both"/>
              <w:rPr>
                <w:rFonts w:cstheme="minorHAnsi"/>
                <w:sz w:val="24"/>
                <w:szCs w:val="24"/>
                <w:rtl/>
                <w:lang w:bidi="ar-JO"/>
              </w:rPr>
            </w:pPr>
          </w:p>
        </w:tc>
        <w:tc>
          <w:tcPr>
            <w:tcW w:w="1915" w:type="dxa"/>
          </w:tcPr>
          <w:p w14:paraId="00ACE560" w14:textId="77777777" w:rsidR="005B1648" w:rsidRPr="00695335" w:rsidRDefault="005B1648" w:rsidP="005B1648">
            <w:pPr>
              <w:bidi/>
              <w:jc w:val="both"/>
              <w:rPr>
                <w:rFonts w:cstheme="minorHAnsi"/>
                <w:sz w:val="24"/>
                <w:szCs w:val="24"/>
                <w:rtl/>
                <w:lang w:bidi="ar-JO"/>
              </w:rPr>
            </w:pPr>
          </w:p>
        </w:tc>
        <w:tc>
          <w:tcPr>
            <w:tcW w:w="1915" w:type="dxa"/>
          </w:tcPr>
          <w:p w14:paraId="03E840B0" w14:textId="77777777" w:rsidR="005B1648" w:rsidRPr="00695335" w:rsidRDefault="005B1648" w:rsidP="005B1648">
            <w:pPr>
              <w:bidi/>
              <w:jc w:val="both"/>
              <w:rPr>
                <w:rFonts w:cstheme="minorHAnsi"/>
                <w:sz w:val="24"/>
                <w:szCs w:val="24"/>
                <w:rtl/>
                <w:lang w:bidi="ar-JO"/>
              </w:rPr>
            </w:pPr>
          </w:p>
        </w:tc>
        <w:tc>
          <w:tcPr>
            <w:tcW w:w="1916" w:type="dxa"/>
          </w:tcPr>
          <w:p w14:paraId="000644E2" w14:textId="77777777" w:rsidR="005B1648" w:rsidRPr="00695335" w:rsidRDefault="005B1648" w:rsidP="005B1648">
            <w:pPr>
              <w:bidi/>
              <w:jc w:val="both"/>
              <w:rPr>
                <w:rFonts w:cstheme="minorHAnsi"/>
                <w:sz w:val="24"/>
                <w:szCs w:val="24"/>
                <w:rtl/>
                <w:lang w:bidi="ar-JO"/>
              </w:rPr>
            </w:pPr>
          </w:p>
        </w:tc>
      </w:tr>
    </w:tbl>
    <w:p w14:paraId="44D41C78" w14:textId="77777777" w:rsidR="005B1648" w:rsidRPr="00695335" w:rsidRDefault="005B1648" w:rsidP="005B1648">
      <w:pPr>
        <w:bidi/>
        <w:jc w:val="both"/>
        <w:rPr>
          <w:rFonts w:cstheme="minorHAnsi"/>
          <w:sz w:val="24"/>
          <w:szCs w:val="24"/>
          <w:rtl/>
          <w:lang w:bidi="ar-JO"/>
        </w:rPr>
      </w:pPr>
    </w:p>
    <w:p w14:paraId="18550A96" w14:textId="77777777" w:rsidR="008E10B1" w:rsidRPr="00695335" w:rsidRDefault="006D46F9" w:rsidP="008E10B1">
      <w:pPr>
        <w:bidi/>
        <w:jc w:val="both"/>
        <w:rPr>
          <w:rFonts w:cstheme="minorHAnsi"/>
          <w:color w:val="C00000"/>
          <w:sz w:val="24"/>
          <w:szCs w:val="24"/>
          <w:rtl/>
          <w:lang w:bidi="ar-JO"/>
        </w:rPr>
      </w:pPr>
      <w:r w:rsidRPr="00695335">
        <w:rPr>
          <w:rFonts w:cstheme="minorHAnsi"/>
          <w:color w:val="C00000"/>
          <w:sz w:val="24"/>
          <w:szCs w:val="24"/>
          <w:rtl/>
          <w:lang w:bidi="ar-JO"/>
        </w:rPr>
        <w:t xml:space="preserve">سبيل المضي قدما- التأهب للأوبئة وتغيير السلوك على مستوى المجتمع </w:t>
      </w:r>
    </w:p>
    <w:p w14:paraId="1183DD3C" w14:textId="77777777" w:rsidR="006D46F9" w:rsidRPr="00695335" w:rsidRDefault="006D46F9" w:rsidP="00517286">
      <w:pPr>
        <w:bidi/>
        <w:jc w:val="both"/>
        <w:rPr>
          <w:rFonts w:cstheme="minorHAnsi"/>
          <w:sz w:val="24"/>
          <w:szCs w:val="24"/>
          <w:rtl/>
          <w:lang w:bidi="ar-JO"/>
        </w:rPr>
      </w:pPr>
      <w:r w:rsidRPr="00695335">
        <w:rPr>
          <w:rFonts w:cstheme="minorHAnsi"/>
          <w:sz w:val="24"/>
          <w:szCs w:val="24"/>
          <w:rtl/>
          <w:lang w:bidi="ar-JO"/>
        </w:rPr>
        <w:lastRenderedPageBreak/>
        <w:t>يجب بناء التأهب المجتمعي للأوبئة و نظم الإنذار المبكر</w:t>
      </w:r>
      <w:r w:rsidRPr="00695335">
        <w:rPr>
          <w:rFonts w:cstheme="minorHAnsi"/>
          <w:sz w:val="24"/>
          <w:szCs w:val="24"/>
          <w:lang w:bidi="ar-JO"/>
        </w:rPr>
        <w:t xml:space="preserve"> </w:t>
      </w:r>
      <w:r w:rsidRPr="00695335">
        <w:rPr>
          <w:rFonts w:cstheme="minorHAnsi"/>
          <w:sz w:val="24"/>
          <w:szCs w:val="24"/>
          <w:rtl/>
          <w:lang w:bidi="ar-JO"/>
        </w:rPr>
        <w:t xml:space="preserve"> على أساس المشاركة المجتمعية والثقة والتواصل ثنائي الاتجاه. </w:t>
      </w:r>
      <w:r w:rsidR="00517286" w:rsidRPr="00695335">
        <w:rPr>
          <w:rFonts w:cstheme="minorHAnsi"/>
          <w:sz w:val="24"/>
          <w:szCs w:val="24"/>
          <w:rtl/>
          <w:lang w:bidi="ar-JO"/>
        </w:rPr>
        <w:t xml:space="preserve">يعد </w:t>
      </w:r>
      <w:r w:rsidRPr="00695335">
        <w:rPr>
          <w:rFonts w:cstheme="minorHAnsi"/>
          <w:sz w:val="24"/>
          <w:szCs w:val="24"/>
          <w:rtl/>
          <w:lang w:bidi="ar-JO"/>
        </w:rPr>
        <w:t xml:space="preserve">العمل مع شركاء متنوعين </w:t>
      </w:r>
      <w:r w:rsidR="00517286" w:rsidRPr="00695335">
        <w:rPr>
          <w:rFonts w:cstheme="minorHAnsi"/>
          <w:sz w:val="24"/>
          <w:szCs w:val="24"/>
          <w:rtl/>
          <w:lang w:bidi="ar-JO"/>
        </w:rPr>
        <w:t>عبر الحكومة والهياكل المجتمعية الموثوقة أمرا بالغ الأهمية. يكون هذا صحيحا على وجه الخصوص عند تبني نهج الصحة الواحدة، ذلك أن التفاعلات بين الإنسان والحيوانات على مستوى المجتمع متجذرة في الثقافات والتقاليد، مما يستلزم ثقة وملكية محلية لتبني سلوكيات صحية وقائية والتي يمكن أن تتصادم مع التقاليد المتأصلة.</w:t>
      </w:r>
      <w:r w:rsidR="00517286" w:rsidRPr="00695335">
        <w:rPr>
          <w:rFonts w:cstheme="minorHAnsi"/>
          <w:sz w:val="24"/>
          <w:szCs w:val="24"/>
          <w:lang w:bidi="ar-JO"/>
        </w:rPr>
        <w:t xml:space="preserve"> </w:t>
      </w:r>
      <w:r w:rsidR="00517286" w:rsidRPr="00695335">
        <w:rPr>
          <w:rFonts w:cstheme="minorHAnsi"/>
          <w:sz w:val="24"/>
          <w:szCs w:val="24"/>
          <w:rtl/>
          <w:lang w:bidi="ar-JO"/>
        </w:rPr>
        <w:t xml:space="preserve"> قد يكون لهذا تداعيات كبيرة على أمراض الحيوانات التي تنتقل إلى الإنسان مثل الجمرة الخبيثة وانفلونزا الطيور والإيبولا وفيرس كورونا. </w:t>
      </w:r>
    </w:p>
    <w:p w14:paraId="0ACAF7E1" w14:textId="77777777" w:rsidR="006D46F9" w:rsidRPr="00695335" w:rsidRDefault="00461D5A" w:rsidP="006D46F9">
      <w:pPr>
        <w:bidi/>
        <w:jc w:val="both"/>
        <w:rPr>
          <w:rFonts w:cstheme="minorHAnsi"/>
          <w:color w:val="FF0000"/>
          <w:sz w:val="24"/>
          <w:szCs w:val="24"/>
          <w:rtl/>
          <w:lang w:bidi="ar-JO"/>
        </w:rPr>
      </w:pPr>
      <w:r w:rsidRPr="00695335">
        <w:rPr>
          <w:rFonts w:cstheme="minorHAnsi"/>
          <w:color w:val="FF0000"/>
          <w:sz w:val="24"/>
          <w:szCs w:val="24"/>
          <w:rtl/>
          <w:lang w:bidi="ar-JO"/>
        </w:rPr>
        <w:t>حدد المجتمع الرسائل الرئيسية للتردد في</w:t>
      </w:r>
      <w:r w:rsidR="00B273DB" w:rsidRPr="00695335">
        <w:rPr>
          <w:rFonts w:cstheme="minorHAnsi"/>
          <w:color w:val="FF0000"/>
          <w:sz w:val="24"/>
          <w:szCs w:val="24"/>
          <w:lang w:bidi="ar-JO"/>
        </w:rPr>
        <w:t xml:space="preserve"> </w:t>
      </w:r>
      <w:r w:rsidR="00B273DB" w:rsidRPr="00695335">
        <w:rPr>
          <w:rFonts w:cstheme="minorHAnsi"/>
          <w:color w:val="FF0000"/>
          <w:sz w:val="24"/>
          <w:szCs w:val="24"/>
          <w:rtl/>
          <w:lang w:bidi="ar-JO"/>
        </w:rPr>
        <w:t xml:space="preserve"> أخذ</w:t>
      </w:r>
      <w:r w:rsidRPr="00695335">
        <w:rPr>
          <w:rFonts w:cstheme="minorHAnsi"/>
          <w:color w:val="FF0000"/>
          <w:sz w:val="24"/>
          <w:szCs w:val="24"/>
          <w:rtl/>
          <w:lang w:bidi="ar-JO"/>
        </w:rPr>
        <w:t xml:space="preserve"> لقاح الحصبة في جمهورية الكونغو الديمقراطية</w:t>
      </w:r>
    </w:p>
    <w:p w14:paraId="2794253E" w14:textId="77777777" w:rsidR="00B273DB" w:rsidRPr="00695335" w:rsidRDefault="00B273DB" w:rsidP="00B273DB">
      <w:pPr>
        <w:bidi/>
        <w:jc w:val="both"/>
        <w:rPr>
          <w:rFonts w:cstheme="minorHAnsi"/>
          <w:sz w:val="24"/>
          <w:szCs w:val="24"/>
          <w:rtl/>
          <w:lang w:bidi="ar-JO"/>
        </w:rPr>
      </w:pPr>
      <w:r w:rsidRPr="00695335">
        <w:rPr>
          <w:rFonts w:cstheme="minorHAnsi"/>
          <w:sz w:val="24"/>
          <w:szCs w:val="24"/>
          <w:rtl/>
          <w:lang w:bidi="ar-JO"/>
        </w:rPr>
        <w:t>جمع متطوعو الصليب الأحمر في جمهورية الكونغو الديمقراطية بجمع الشائعات والتغذية الراجعة المجتمعية المرتبطة بالتحصين ضد الحصبة. وعُقدت ورش عمل تشاركية حضرها شركاء الصحة المجتمعية والعاملون في مجال الصحة المجتمعية والزعماء الدينيون والتقليديون والسلطات الإدارية والصحية المحلية لتحليل الشائعات والتغذية الراجعة. تم التحقق لاحقا من صحة الرسائل الرئيسية المعتمدة لمعالجة الشائعات التي حددتها السلطات الصحية المحلية على مستوى المنطقة الصحية مما عززت الملكية والالتزام بنشر الرسائل.</w:t>
      </w:r>
    </w:p>
    <w:p w14:paraId="79657F55" w14:textId="77777777" w:rsidR="00B273DB" w:rsidRPr="00695335" w:rsidRDefault="00B273DB" w:rsidP="00B273DB">
      <w:pPr>
        <w:bidi/>
        <w:jc w:val="both"/>
        <w:rPr>
          <w:rFonts w:cstheme="minorHAnsi"/>
          <w:sz w:val="24"/>
          <w:szCs w:val="24"/>
          <w:rtl/>
          <w:lang w:bidi="ar-JO"/>
        </w:rPr>
      </w:pPr>
      <w:r w:rsidRPr="00695335">
        <w:rPr>
          <w:rFonts w:cstheme="minorHAnsi"/>
          <w:sz w:val="24"/>
          <w:szCs w:val="24"/>
          <w:rtl/>
          <w:lang w:bidi="ar-JO"/>
        </w:rPr>
        <w:t xml:space="preserve">مثال على الشائعات ومسار الرسائل </w:t>
      </w:r>
    </w:p>
    <w:tbl>
      <w:tblPr>
        <w:tblStyle w:val="TableGrid"/>
        <w:bidiVisual/>
        <w:tblW w:w="0" w:type="auto"/>
        <w:tblLook w:val="04A0" w:firstRow="1" w:lastRow="0" w:firstColumn="1" w:lastColumn="0" w:noHBand="0" w:noVBand="1"/>
      </w:tblPr>
      <w:tblGrid>
        <w:gridCol w:w="3192"/>
        <w:gridCol w:w="3192"/>
        <w:gridCol w:w="3192"/>
      </w:tblGrid>
      <w:tr w:rsidR="00B273DB" w:rsidRPr="00695335" w14:paraId="10C45424" w14:textId="77777777" w:rsidTr="00B273DB">
        <w:tc>
          <w:tcPr>
            <w:tcW w:w="3192" w:type="dxa"/>
          </w:tcPr>
          <w:p w14:paraId="45D2C87B" w14:textId="77777777" w:rsidR="00B273DB" w:rsidRPr="00695335" w:rsidRDefault="00B273DB" w:rsidP="00B273DB">
            <w:pPr>
              <w:bidi/>
              <w:jc w:val="both"/>
              <w:rPr>
                <w:rFonts w:cstheme="minorHAnsi"/>
                <w:sz w:val="24"/>
                <w:szCs w:val="24"/>
                <w:rtl/>
                <w:lang w:bidi="ar-JO"/>
              </w:rPr>
            </w:pPr>
            <w:r w:rsidRPr="00695335">
              <w:rPr>
                <w:rFonts w:cstheme="minorHAnsi"/>
                <w:sz w:val="24"/>
                <w:szCs w:val="24"/>
                <w:rtl/>
                <w:lang w:bidi="ar-JO"/>
              </w:rPr>
              <w:t>الشائعة</w:t>
            </w:r>
          </w:p>
        </w:tc>
        <w:tc>
          <w:tcPr>
            <w:tcW w:w="3192" w:type="dxa"/>
          </w:tcPr>
          <w:p w14:paraId="4261E00A" w14:textId="77777777" w:rsidR="00B273DB" w:rsidRPr="00695335" w:rsidRDefault="00B273DB" w:rsidP="00B273DB">
            <w:pPr>
              <w:bidi/>
              <w:jc w:val="both"/>
              <w:rPr>
                <w:rFonts w:cstheme="minorHAnsi"/>
                <w:sz w:val="24"/>
                <w:szCs w:val="24"/>
                <w:rtl/>
                <w:lang w:bidi="ar-JO"/>
              </w:rPr>
            </w:pPr>
            <w:r w:rsidRPr="00695335">
              <w:rPr>
                <w:rFonts w:cstheme="minorHAnsi"/>
                <w:sz w:val="24"/>
                <w:szCs w:val="24"/>
                <w:rtl/>
                <w:lang w:bidi="ar-JO"/>
              </w:rPr>
              <w:t>طريقة التواصل</w:t>
            </w:r>
          </w:p>
        </w:tc>
        <w:tc>
          <w:tcPr>
            <w:tcW w:w="3192" w:type="dxa"/>
          </w:tcPr>
          <w:p w14:paraId="3FDCB2CE" w14:textId="77777777" w:rsidR="00B273DB" w:rsidRPr="00695335" w:rsidRDefault="00B273DB" w:rsidP="00B273DB">
            <w:pPr>
              <w:bidi/>
              <w:jc w:val="both"/>
              <w:rPr>
                <w:rFonts w:cstheme="minorHAnsi"/>
                <w:sz w:val="24"/>
                <w:szCs w:val="24"/>
                <w:rtl/>
                <w:lang w:bidi="ar-JO"/>
              </w:rPr>
            </w:pPr>
            <w:r w:rsidRPr="00695335">
              <w:rPr>
                <w:rFonts w:cstheme="minorHAnsi"/>
                <w:sz w:val="24"/>
                <w:szCs w:val="24"/>
                <w:rtl/>
                <w:lang w:bidi="ar-JO"/>
              </w:rPr>
              <w:t xml:space="preserve">الرسالة المجتمعية </w:t>
            </w:r>
          </w:p>
        </w:tc>
      </w:tr>
      <w:tr w:rsidR="00B273DB" w:rsidRPr="00695335" w14:paraId="32994380" w14:textId="77777777" w:rsidTr="00B273DB">
        <w:tc>
          <w:tcPr>
            <w:tcW w:w="3192" w:type="dxa"/>
          </w:tcPr>
          <w:p w14:paraId="56DCB19C" w14:textId="77777777" w:rsidR="00B273DB" w:rsidRPr="00695335" w:rsidRDefault="00B273DB" w:rsidP="00B273DB">
            <w:pPr>
              <w:bidi/>
              <w:jc w:val="both"/>
              <w:rPr>
                <w:rFonts w:cstheme="minorHAnsi"/>
                <w:sz w:val="24"/>
                <w:szCs w:val="24"/>
                <w:rtl/>
                <w:lang w:bidi="ar-JO"/>
              </w:rPr>
            </w:pPr>
            <w:r w:rsidRPr="00695335">
              <w:rPr>
                <w:rFonts w:cstheme="minorHAnsi"/>
                <w:sz w:val="24"/>
                <w:szCs w:val="24"/>
                <w:rtl/>
                <w:lang w:bidi="ar-JO"/>
              </w:rPr>
              <w:t>" المطاعيم تجعل الأطفال أقل ذكاء"</w:t>
            </w:r>
          </w:p>
        </w:tc>
        <w:tc>
          <w:tcPr>
            <w:tcW w:w="3192" w:type="dxa"/>
          </w:tcPr>
          <w:p w14:paraId="6B9680EA" w14:textId="77777777" w:rsidR="00B273DB" w:rsidRPr="00695335" w:rsidRDefault="004C0C2C" w:rsidP="00B273DB">
            <w:pPr>
              <w:bidi/>
              <w:jc w:val="both"/>
              <w:rPr>
                <w:rFonts w:cstheme="minorHAnsi"/>
                <w:sz w:val="24"/>
                <w:szCs w:val="24"/>
                <w:rtl/>
                <w:lang w:bidi="ar-JO"/>
              </w:rPr>
            </w:pPr>
            <w:r w:rsidRPr="00695335">
              <w:rPr>
                <w:rFonts w:cstheme="minorHAnsi"/>
                <w:sz w:val="24"/>
                <w:szCs w:val="24"/>
                <w:rtl/>
                <w:lang w:bidi="ar-JO"/>
              </w:rPr>
              <w:t>زيارات منزلية</w:t>
            </w:r>
          </w:p>
        </w:tc>
        <w:tc>
          <w:tcPr>
            <w:tcW w:w="3192" w:type="dxa"/>
          </w:tcPr>
          <w:p w14:paraId="07DC89A5" w14:textId="77777777" w:rsidR="00B273DB" w:rsidRPr="00695335" w:rsidRDefault="004C0C2C" w:rsidP="00B273DB">
            <w:pPr>
              <w:bidi/>
              <w:jc w:val="both"/>
              <w:rPr>
                <w:rFonts w:cstheme="minorHAnsi"/>
                <w:sz w:val="24"/>
                <w:szCs w:val="24"/>
                <w:rtl/>
                <w:lang w:bidi="ar-JO"/>
              </w:rPr>
            </w:pPr>
            <w:r w:rsidRPr="00695335">
              <w:rPr>
                <w:rFonts w:cstheme="minorHAnsi"/>
                <w:sz w:val="24"/>
                <w:szCs w:val="24"/>
                <w:rtl/>
                <w:lang w:bidi="ar-JO"/>
              </w:rPr>
              <w:t>"التطعيم حب ووقاية"</w:t>
            </w:r>
          </w:p>
        </w:tc>
      </w:tr>
    </w:tbl>
    <w:p w14:paraId="3CBF670F" w14:textId="77777777" w:rsidR="00B273DB" w:rsidRPr="00695335" w:rsidRDefault="00B273DB" w:rsidP="00B273DB">
      <w:pPr>
        <w:bidi/>
        <w:jc w:val="both"/>
        <w:rPr>
          <w:rFonts w:cstheme="minorHAnsi"/>
          <w:sz w:val="24"/>
          <w:szCs w:val="24"/>
          <w:rtl/>
          <w:lang w:bidi="ar-JO"/>
        </w:rPr>
      </w:pPr>
    </w:p>
    <w:p w14:paraId="15E170F6" w14:textId="77777777" w:rsidR="004C0C2C" w:rsidRPr="00695335" w:rsidRDefault="004C0C2C" w:rsidP="004C0C2C">
      <w:pPr>
        <w:bidi/>
        <w:jc w:val="both"/>
        <w:rPr>
          <w:rFonts w:cstheme="minorHAnsi"/>
          <w:sz w:val="24"/>
          <w:szCs w:val="24"/>
          <w:rtl/>
          <w:lang w:bidi="ar-JO"/>
        </w:rPr>
      </w:pPr>
      <w:r w:rsidRPr="00695335">
        <w:rPr>
          <w:rFonts w:cstheme="minorHAnsi"/>
          <w:sz w:val="24"/>
          <w:szCs w:val="24"/>
          <w:rtl/>
          <w:lang w:bidi="ar-JO"/>
        </w:rPr>
        <w:t>239</w:t>
      </w:r>
    </w:p>
    <w:p w14:paraId="04B73DED" w14:textId="77777777" w:rsidR="004C0C2C" w:rsidRPr="00695335" w:rsidRDefault="004C0C2C" w:rsidP="004C0C2C">
      <w:pPr>
        <w:bidi/>
        <w:jc w:val="both"/>
        <w:rPr>
          <w:rFonts w:cstheme="minorHAnsi"/>
          <w:sz w:val="24"/>
          <w:szCs w:val="24"/>
          <w:rtl/>
          <w:lang w:bidi="ar-JO"/>
        </w:rPr>
      </w:pPr>
      <w:r w:rsidRPr="00695335">
        <w:rPr>
          <w:rFonts w:cstheme="minorHAnsi"/>
          <w:sz w:val="24"/>
          <w:szCs w:val="24"/>
          <w:rtl/>
          <w:lang w:bidi="ar-JO"/>
        </w:rPr>
        <w:t>طفلا تقل أعمارهم عن 5 سنوات في المناطق المستهدفة لم يتلقوا أي تطعيم ضد الحصبة (جرعة صفرية)</w:t>
      </w:r>
    </w:p>
    <w:p w14:paraId="04CF5530" w14:textId="77777777" w:rsidR="004C0C2C" w:rsidRPr="00695335" w:rsidRDefault="004C0C2C" w:rsidP="004C0C2C">
      <w:pPr>
        <w:bidi/>
        <w:jc w:val="both"/>
        <w:rPr>
          <w:rFonts w:cstheme="minorHAnsi"/>
          <w:sz w:val="24"/>
          <w:szCs w:val="24"/>
          <w:rtl/>
          <w:lang w:bidi="ar-JO"/>
        </w:rPr>
      </w:pPr>
      <w:r w:rsidRPr="00695335">
        <w:rPr>
          <w:rFonts w:cstheme="minorHAnsi"/>
          <w:sz w:val="24"/>
          <w:szCs w:val="24"/>
          <w:rtl/>
          <w:lang w:bidi="ar-JO"/>
        </w:rPr>
        <w:t>92%</w:t>
      </w:r>
    </w:p>
    <w:p w14:paraId="2103CCBC" w14:textId="77777777" w:rsidR="004C0C2C" w:rsidRPr="00695335" w:rsidRDefault="004C0C2C" w:rsidP="004C0C2C">
      <w:pPr>
        <w:bidi/>
        <w:jc w:val="both"/>
        <w:rPr>
          <w:rFonts w:cstheme="minorHAnsi"/>
          <w:sz w:val="24"/>
          <w:szCs w:val="24"/>
          <w:rtl/>
          <w:lang w:bidi="ar-JO"/>
        </w:rPr>
      </w:pPr>
      <w:r w:rsidRPr="00695335">
        <w:rPr>
          <w:rFonts w:cstheme="minorHAnsi"/>
          <w:sz w:val="24"/>
          <w:szCs w:val="24"/>
          <w:rtl/>
          <w:lang w:bidi="ar-JO"/>
        </w:rPr>
        <w:t xml:space="preserve">من أطفال (221 طفلا) الجرعة الصفرية تطعموا في الحملة التالية </w:t>
      </w:r>
    </w:p>
    <w:p w14:paraId="29D207EA" w14:textId="77777777" w:rsidR="004C0C2C" w:rsidRPr="00695335" w:rsidRDefault="004C0C2C" w:rsidP="004C0C2C">
      <w:pPr>
        <w:bidi/>
        <w:jc w:val="both"/>
        <w:rPr>
          <w:rFonts w:cstheme="minorHAnsi"/>
          <w:sz w:val="24"/>
          <w:szCs w:val="24"/>
          <w:rtl/>
          <w:lang w:bidi="ar-JO"/>
        </w:rPr>
      </w:pPr>
    </w:p>
    <w:p w14:paraId="798657A6" w14:textId="77777777" w:rsidR="004C0C2C" w:rsidRPr="00695335" w:rsidRDefault="004C0C2C" w:rsidP="004C0C2C">
      <w:pPr>
        <w:bidi/>
        <w:jc w:val="both"/>
        <w:rPr>
          <w:rFonts w:cstheme="minorHAnsi"/>
          <w:color w:val="FF0000"/>
          <w:sz w:val="24"/>
          <w:szCs w:val="24"/>
          <w:rtl/>
          <w:lang w:bidi="ar-JO"/>
        </w:rPr>
      </w:pPr>
      <w:r w:rsidRPr="00695335">
        <w:rPr>
          <w:rFonts w:cstheme="minorHAnsi"/>
          <w:color w:val="FF0000"/>
          <w:sz w:val="24"/>
          <w:szCs w:val="24"/>
          <w:rtl/>
          <w:lang w:bidi="ar-JO"/>
        </w:rPr>
        <w:t xml:space="preserve">استخدام الإذاعة المجتمعية لمكافحة الكوليرا في الكونغو </w:t>
      </w:r>
    </w:p>
    <w:p w14:paraId="31DD6BA0" w14:textId="77777777" w:rsidR="004C0C2C" w:rsidRPr="00695335" w:rsidRDefault="004C0C2C" w:rsidP="004C0C2C">
      <w:pPr>
        <w:bidi/>
        <w:jc w:val="both"/>
        <w:rPr>
          <w:rFonts w:cstheme="minorHAnsi"/>
          <w:sz w:val="24"/>
          <w:szCs w:val="24"/>
          <w:rtl/>
          <w:lang w:bidi="ar-JO"/>
        </w:rPr>
      </w:pPr>
      <w:r w:rsidRPr="00695335">
        <w:rPr>
          <w:rFonts w:cstheme="minorHAnsi"/>
          <w:sz w:val="24"/>
          <w:szCs w:val="24"/>
          <w:rtl/>
          <w:lang w:bidi="ar-JO"/>
        </w:rPr>
        <w:t>لغايات الوصول إلى أكبر عدد ممكن من المجتمعات في المناطق الريفية من البلاد التي تضم مجتمعات متفرقة، أطلق الصليب الأحمر الكاميروني سلسلة من البرامج الإذاعية المجتمعية لمكافحة تفشي وباء الكوليرا في الشمال. اختيرت موضوعات البرامج الإذاعية بالتعاون مع قادة المجتمع. تم تعزيز الرسائل الرئيسية المشتركة حول السلوكيات الوقائية التي يجب تبنيها من قبل المتطوعين على مستوى المجتمع خلال الزيارات المنزلية.</w:t>
      </w:r>
    </w:p>
    <w:p w14:paraId="16769765" w14:textId="77777777" w:rsidR="004C0C2C" w:rsidRPr="00695335" w:rsidRDefault="004C0C2C" w:rsidP="004C0C2C">
      <w:pPr>
        <w:bidi/>
        <w:rPr>
          <w:rFonts w:cstheme="minorHAnsi"/>
          <w:sz w:val="24"/>
          <w:szCs w:val="24"/>
          <w:rtl/>
          <w:lang w:bidi="ar-JO"/>
        </w:rPr>
      </w:pPr>
      <w:r w:rsidRPr="00695335">
        <w:rPr>
          <w:rFonts w:cstheme="minorHAnsi"/>
          <w:sz w:val="24"/>
          <w:szCs w:val="24"/>
          <w:rtl/>
          <w:lang w:bidi="ar-JO"/>
        </w:rPr>
        <w:t xml:space="preserve"> " إن البرنامج الإذاعي جيد جداً، لأنه أعطاني معلومات عملية. كان أحد أفراد أسرتي مصابا بالكوليرا، ولكن بناء على الدابير التي سمعتها عبر الراديو، تمكنت من إنقاذ طفلة أختي التي كانت مريضة</w:t>
      </w:r>
      <w:r w:rsidRPr="00695335">
        <w:rPr>
          <w:rFonts w:cstheme="minorHAnsi"/>
          <w:sz w:val="24"/>
          <w:szCs w:val="24"/>
          <w:lang w:bidi="ar-JO"/>
        </w:rPr>
        <w:t xml:space="preserve"> "</w:t>
      </w:r>
    </w:p>
    <w:p w14:paraId="5E9AAEFE" w14:textId="77777777" w:rsidR="004C0C2C" w:rsidRPr="00695335" w:rsidRDefault="004C0C2C" w:rsidP="00C16291">
      <w:pPr>
        <w:bidi/>
        <w:rPr>
          <w:rFonts w:cstheme="minorHAnsi"/>
          <w:sz w:val="24"/>
          <w:szCs w:val="24"/>
          <w:rtl/>
          <w:lang w:bidi="ar-JO"/>
        </w:rPr>
      </w:pPr>
      <w:r w:rsidRPr="00695335">
        <w:rPr>
          <w:rFonts w:cstheme="minorHAnsi"/>
          <w:sz w:val="24"/>
          <w:szCs w:val="24"/>
          <w:rtl/>
          <w:lang w:bidi="ar-JO"/>
        </w:rPr>
        <w:t>تالاغا جوزيف، الذي اتصل بال</w:t>
      </w:r>
      <w:r w:rsidR="00C16291" w:rsidRPr="00695335">
        <w:rPr>
          <w:rFonts w:cstheme="minorHAnsi"/>
          <w:sz w:val="24"/>
          <w:szCs w:val="24"/>
          <w:rtl/>
          <w:lang w:bidi="ar-JO"/>
        </w:rPr>
        <w:t>إذاعة</w:t>
      </w:r>
    </w:p>
    <w:p w14:paraId="6F38340A" w14:textId="77777777" w:rsidR="004C0C2C" w:rsidRPr="00695335" w:rsidRDefault="004C0C2C" w:rsidP="00C16291">
      <w:pPr>
        <w:bidi/>
        <w:jc w:val="both"/>
        <w:rPr>
          <w:rFonts w:cstheme="minorHAnsi"/>
          <w:sz w:val="24"/>
          <w:szCs w:val="24"/>
          <w:rtl/>
          <w:lang w:bidi="ar-JO"/>
        </w:rPr>
      </w:pPr>
      <w:r w:rsidRPr="00695335">
        <w:rPr>
          <w:rFonts w:cstheme="minorHAnsi"/>
          <w:sz w:val="24"/>
          <w:szCs w:val="24"/>
          <w:rtl/>
          <w:lang w:bidi="ar-JO"/>
        </w:rPr>
        <w:t xml:space="preserve">بينوي </w:t>
      </w:r>
      <w:r w:rsidR="00C16291" w:rsidRPr="00695335">
        <w:rPr>
          <w:rFonts w:cstheme="minorHAnsi"/>
          <w:sz w:val="24"/>
          <w:szCs w:val="24"/>
          <w:rtl/>
          <w:lang w:bidi="ar-JO"/>
        </w:rPr>
        <w:t>إف.إم</w:t>
      </w:r>
      <w:r w:rsidRPr="00695335">
        <w:rPr>
          <w:rFonts w:cstheme="minorHAnsi"/>
          <w:sz w:val="24"/>
          <w:szCs w:val="24"/>
          <w:rtl/>
          <w:lang w:bidi="ar-JO"/>
        </w:rPr>
        <w:t xml:space="preserve">، </w:t>
      </w:r>
      <w:r w:rsidRPr="00695335">
        <w:rPr>
          <w:rFonts w:cstheme="minorHAnsi"/>
          <w:sz w:val="24"/>
          <w:szCs w:val="24"/>
          <w:lang w:bidi="ar-JO"/>
        </w:rPr>
        <w:t>2021</w:t>
      </w:r>
    </w:p>
    <w:p w14:paraId="5A3167CE" w14:textId="77777777" w:rsidR="00C16291" w:rsidRPr="00695335" w:rsidRDefault="00C16291" w:rsidP="00C16291">
      <w:pPr>
        <w:bidi/>
        <w:jc w:val="both"/>
        <w:rPr>
          <w:rFonts w:cstheme="minorHAnsi"/>
          <w:sz w:val="24"/>
          <w:szCs w:val="24"/>
          <w:rtl/>
          <w:lang w:bidi="ar-JO"/>
        </w:rPr>
      </w:pPr>
      <w:r w:rsidRPr="00695335">
        <w:rPr>
          <w:rFonts w:cstheme="minorHAnsi"/>
          <w:sz w:val="24"/>
          <w:szCs w:val="24"/>
          <w:rtl/>
          <w:lang w:bidi="ar-JO"/>
        </w:rPr>
        <w:lastRenderedPageBreak/>
        <w:t xml:space="preserve">16 برنامجا إذاعيا </w:t>
      </w:r>
    </w:p>
    <w:sectPr w:rsidR="00C16291" w:rsidRPr="006953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1229"/>
    <w:rsid w:val="0029614A"/>
    <w:rsid w:val="00461D5A"/>
    <w:rsid w:val="004C0C2C"/>
    <w:rsid w:val="00517286"/>
    <w:rsid w:val="005B1648"/>
    <w:rsid w:val="00695335"/>
    <w:rsid w:val="006D46F9"/>
    <w:rsid w:val="00835352"/>
    <w:rsid w:val="00871229"/>
    <w:rsid w:val="008E10B1"/>
    <w:rsid w:val="009A44F3"/>
    <w:rsid w:val="00B273DB"/>
    <w:rsid w:val="00C16291"/>
    <w:rsid w:val="00E87D7E"/>
    <w:rsid w:val="00F172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EDA1B"/>
  <w15:docId w15:val="{618F629B-0CED-4B44-9C1A-3565356F5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1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Kareem</dc:creator>
  <cp:keywords/>
  <dc:description/>
  <cp:lastModifiedBy>HP</cp:lastModifiedBy>
  <cp:revision>8</cp:revision>
  <dcterms:created xsi:type="dcterms:W3CDTF">2023-09-23T05:19:00Z</dcterms:created>
  <dcterms:modified xsi:type="dcterms:W3CDTF">2023-11-06T12:25:00Z</dcterms:modified>
</cp:coreProperties>
</file>